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6625C" w14:textId="77777777" w:rsidR="00404C81" w:rsidRDefault="00404C81" w:rsidP="00DF2D9D">
      <w:pPr>
        <w:jc w:val="center"/>
        <w:rPr>
          <w:rFonts w:cs="Arial"/>
        </w:rPr>
      </w:pPr>
      <w:bookmarkStart w:id="0" w:name="_GoBack"/>
      <w:bookmarkEnd w:id="0"/>
    </w:p>
    <w:p w14:paraId="29E80BBC" w14:textId="77777777" w:rsidR="00363E9A" w:rsidRDefault="00363E9A" w:rsidP="00DF2D9D">
      <w:pPr>
        <w:jc w:val="center"/>
        <w:rPr>
          <w:rFonts w:cs="Arial"/>
        </w:rPr>
      </w:pPr>
    </w:p>
    <w:p w14:paraId="4616FA80" w14:textId="77777777" w:rsidR="00363E9A" w:rsidRDefault="00363E9A" w:rsidP="00DF2D9D">
      <w:pPr>
        <w:jc w:val="center"/>
        <w:rPr>
          <w:rFonts w:cs="Arial"/>
        </w:rPr>
      </w:pPr>
    </w:p>
    <w:p w14:paraId="7A94CAC0" w14:textId="77777777" w:rsidR="00363E9A" w:rsidRDefault="00363E9A" w:rsidP="00DF2D9D">
      <w:pPr>
        <w:jc w:val="center"/>
        <w:rPr>
          <w:rFonts w:cs="Arial"/>
        </w:rPr>
      </w:pPr>
    </w:p>
    <w:p w14:paraId="3933282E" w14:textId="77777777" w:rsidR="00363E9A" w:rsidRPr="009C4CEA" w:rsidRDefault="00363E9A" w:rsidP="00DF2D9D">
      <w:pPr>
        <w:jc w:val="center"/>
        <w:rPr>
          <w:rFonts w:cs="Arial"/>
        </w:rPr>
      </w:pPr>
    </w:p>
    <w:p w14:paraId="71D2ABC1" w14:textId="77777777" w:rsidR="005E598F" w:rsidRPr="005E598F" w:rsidRDefault="005E598F" w:rsidP="005E598F">
      <w:pPr>
        <w:spacing w:after="240"/>
        <w:ind w:left="170"/>
        <w:jc w:val="center"/>
        <w:rPr>
          <w:rFonts w:cs="Arial"/>
          <w:b/>
          <w:color w:val="000000"/>
          <w:sz w:val="36"/>
        </w:rPr>
      </w:pPr>
      <w:r w:rsidRPr="005E598F">
        <w:rPr>
          <w:rFonts w:cs="Arial"/>
          <w:b/>
          <w:color w:val="000000"/>
          <w:sz w:val="36"/>
        </w:rPr>
        <w:t xml:space="preserve">Analysis of Total Haemoglobin on the </w:t>
      </w:r>
      <w:proofErr w:type="spellStart"/>
      <w:r w:rsidRPr="005E598F">
        <w:rPr>
          <w:rFonts w:cs="Arial"/>
          <w:b/>
          <w:color w:val="000000"/>
          <w:sz w:val="36"/>
        </w:rPr>
        <w:t>Hemo</w:t>
      </w:r>
      <w:proofErr w:type="spellEnd"/>
      <w:r w:rsidRPr="005E598F">
        <w:rPr>
          <w:rFonts w:cs="Arial"/>
          <w:b/>
          <w:color w:val="000000"/>
          <w:sz w:val="36"/>
        </w:rPr>
        <w:t xml:space="preserve"> Control</w:t>
      </w:r>
    </w:p>
    <w:p w14:paraId="2FF167E8" w14:textId="77777777" w:rsidR="000D24AC" w:rsidRPr="00404C81" w:rsidRDefault="000D24AC" w:rsidP="00DF2D9D">
      <w:pPr>
        <w:jc w:val="center"/>
        <w:rPr>
          <w:rFonts w:cs="Arial"/>
        </w:rPr>
      </w:pPr>
    </w:p>
    <w:p w14:paraId="5B2BFF27" w14:textId="77777777" w:rsidR="000D24AC" w:rsidRPr="00404C81" w:rsidRDefault="000D24AC" w:rsidP="00DF2D9D">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0D24AC" w:rsidRPr="00404C81" w14:paraId="4710F63D" w14:textId="77777777">
        <w:trPr>
          <w:trHeight w:val="737"/>
        </w:trPr>
        <w:tc>
          <w:tcPr>
            <w:tcW w:w="3287" w:type="dxa"/>
            <w:vAlign w:val="center"/>
          </w:tcPr>
          <w:p w14:paraId="41E86D22" w14:textId="77777777" w:rsidR="000D24AC" w:rsidRPr="00404C81" w:rsidRDefault="009C0778" w:rsidP="00DF2D9D">
            <w:pPr>
              <w:pStyle w:val="Header"/>
              <w:jc w:val="both"/>
              <w:rPr>
                <w:rFonts w:cs="Arial"/>
                <w:sz w:val="24"/>
              </w:rPr>
            </w:pPr>
            <w:r>
              <w:rPr>
                <w:rFonts w:cs="Arial"/>
                <w:sz w:val="24"/>
              </w:rPr>
              <w:t>Document Author</w:t>
            </w:r>
          </w:p>
        </w:tc>
        <w:tc>
          <w:tcPr>
            <w:tcW w:w="5704" w:type="dxa"/>
            <w:vAlign w:val="center"/>
          </w:tcPr>
          <w:p w14:paraId="0CAF95C2" w14:textId="6405792D" w:rsidR="000D24AC" w:rsidRPr="009C0778" w:rsidRDefault="005E598F" w:rsidP="00FE3F49">
            <w:pPr>
              <w:pStyle w:val="Header"/>
              <w:jc w:val="both"/>
              <w:rPr>
                <w:rFonts w:cs="Arial"/>
                <w:sz w:val="24"/>
              </w:rPr>
            </w:pPr>
            <w:r>
              <w:rPr>
                <w:rFonts w:cs="Arial"/>
                <w:sz w:val="24"/>
              </w:rPr>
              <w:t>Jane Mason</w:t>
            </w:r>
          </w:p>
        </w:tc>
      </w:tr>
      <w:tr w:rsidR="000D24AC" w:rsidRPr="00404C81" w14:paraId="59DC47CE" w14:textId="77777777">
        <w:trPr>
          <w:trHeight w:val="737"/>
        </w:trPr>
        <w:tc>
          <w:tcPr>
            <w:tcW w:w="3287" w:type="dxa"/>
            <w:vAlign w:val="center"/>
          </w:tcPr>
          <w:p w14:paraId="70C355ED" w14:textId="77777777" w:rsidR="000D24AC" w:rsidRPr="00404C81" w:rsidRDefault="009C0778" w:rsidP="00DF2D9D">
            <w:pPr>
              <w:pStyle w:val="Header"/>
              <w:jc w:val="both"/>
              <w:rPr>
                <w:rFonts w:cs="Arial"/>
                <w:sz w:val="24"/>
              </w:rPr>
            </w:pPr>
            <w:r>
              <w:rPr>
                <w:rFonts w:cs="Arial"/>
                <w:sz w:val="24"/>
              </w:rPr>
              <w:t>Document Owner</w:t>
            </w:r>
          </w:p>
        </w:tc>
        <w:tc>
          <w:tcPr>
            <w:tcW w:w="5704" w:type="dxa"/>
            <w:vAlign w:val="center"/>
          </w:tcPr>
          <w:p w14:paraId="10C46827" w14:textId="27A4DA7F" w:rsidR="000D24AC" w:rsidRPr="009C0778" w:rsidRDefault="005E598F" w:rsidP="009C0778">
            <w:pPr>
              <w:pStyle w:val="Header"/>
              <w:jc w:val="both"/>
              <w:rPr>
                <w:rFonts w:cs="Arial"/>
                <w:sz w:val="24"/>
              </w:rPr>
            </w:pPr>
            <w:r w:rsidRPr="005E598F">
              <w:rPr>
                <w:rFonts w:cs="Arial"/>
                <w:sz w:val="24"/>
                <w:szCs w:val="24"/>
              </w:rPr>
              <w:t>Rachel Lampard</w:t>
            </w:r>
          </w:p>
        </w:tc>
      </w:tr>
      <w:tr w:rsidR="00C7143A" w:rsidRPr="00404C81" w14:paraId="5CB945DC" w14:textId="77777777">
        <w:trPr>
          <w:trHeight w:val="737"/>
        </w:trPr>
        <w:tc>
          <w:tcPr>
            <w:tcW w:w="3287" w:type="dxa"/>
            <w:vAlign w:val="center"/>
          </w:tcPr>
          <w:p w14:paraId="72BB870B" w14:textId="77777777" w:rsidR="00C7143A" w:rsidRPr="00404C81" w:rsidRDefault="009C0778" w:rsidP="00DF2D9D">
            <w:pPr>
              <w:pStyle w:val="Header"/>
              <w:jc w:val="both"/>
              <w:rPr>
                <w:rFonts w:cs="Arial"/>
                <w:sz w:val="24"/>
              </w:rPr>
            </w:pPr>
            <w:r>
              <w:rPr>
                <w:rFonts w:cs="Arial"/>
                <w:sz w:val="24"/>
              </w:rPr>
              <w:t>Approved By</w:t>
            </w:r>
          </w:p>
        </w:tc>
        <w:tc>
          <w:tcPr>
            <w:tcW w:w="5704" w:type="dxa"/>
            <w:vAlign w:val="center"/>
          </w:tcPr>
          <w:p w14:paraId="1F38AFB4" w14:textId="5326D014" w:rsidR="00C7143A" w:rsidRPr="009C0778" w:rsidRDefault="00942E67" w:rsidP="009C0778">
            <w:pPr>
              <w:pStyle w:val="Header"/>
              <w:jc w:val="both"/>
              <w:rPr>
                <w:rFonts w:cs="Arial"/>
                <w:sz w:val="24"/>
              </w:rPr>
            </w:pPr>
            <w:r>
              <w:rPr>
                <w:rFonts w:cs="Arial"/>
                <w:sz w:val="24"/>
              </w:rPr>
              <w:t>Rachel Lampard</w:t>
            </w:r>
          </w:p>
        </w:tc>
      </w:tr>
      <w:tr w:rsidR="00C7143A" w:rsidRPr="00404C81" w14:paraId="7383FB28" w14:textId="77777777">
        <w:trPr>
          <w:trHeight w:val="737"/>
        </w:trPr>
        <w:tc>
          <w:tcPr>
            <w:tcW w:w="3287" w:type="dxa"/>
            <w:vAlign w:val="center"/>
          </w:tcPr>
          <w:p w14:paraId="4AB9EEF9" w14:textId="77777777" w:rsidR="00C7143A" w:rsidRDefault="00C7143A" w:rsidP="00C7143A">
            <w:pPr>
              <w:pStyle w:val="Header"/>
              <w:jc w:val="both"/>
              <w:rPr>
                <w:rFonts w:cs="Arial"/>
                <w:sz w:val="24"/>
              </w:rPr>
            </w:pPr>
            <w:r>
              <w:rPr>
                <w:rFonts w:cs="Arial"/>
                <w:sz w:val="24"/>
              </w:rPr>
              <w:t>Review Interval</w:t>
            </w:r>
          </w:p>
        </w:tc>
        <w:tc>
          <w:tcPr>
            <w:tcW w:w="5704" w:type="dxa"/>
            <w:vAlign w:val="center"/>
          </w:tcPr>
          <w:p w14:paraId="5A11AF6E" w14:textId="3E1A2AD7" w:rsidR="00C7143A" w:rsidRPr="009C0778" w:rsidRDefault="005E598F" w:rsidP="00C7143A">
            <w:pPr>
              <w:spacing w:after="0"/>
              <w:rPr>
                <w:rFonts w:cs="Arial"/>
                <w:sz w:val="24"/>
              </w:rPr>
            </w:pPr>
            <w:r>
              <w:rPr>
                <w:rFonts w:cs="Arial"/>
                <w:sz w:val="24"/>
              </w:rPr>
              <w:t>2 Years</w:t>
            </w:r>
          </w:p>
        </w:tc>
      </w:tr>
      <w:tr w:rsidR="00C7143A" w:rsidRPr="00404C81" w14:paraId="4AA39127" w14:textId="77777777">
        <w:trPr>
          <w:trHeight w:val="737"/>
        </w:trPr>
        <w:tc>
          <w:tcPr>
            <w:tcW w:w="3287" w:type="dxa"/>
            <w:vAlign w:val="center"/>
          </w:tcPr>
          <w:p w14:paraId="29471276" w14:textId="77777777" w:rsidR="00C7143A" w:rsidRPr="00404C81" w:rsidRDefault="00C7143A" w:rsidP="002C5007">
            <w:pPr>
              <w:pStyle w:val="Header"/>
              <w:jc w:val="both"/>
              <w:rPr>
                <w:rFonts w:cs="Arial"/>
                <w:sz w:val="24"/>
              </w:rPr>
            </w:pPr>
            <w:r w:rsidRPr="00404C81">
              <w:rPr>
                <w:rFonts w:cs="Arial"/>
                <w:sz w:val="24"/>
              </w:rPr>
              <w:t xml:space="preserve">Location of </w:t>
            </w:r>
            <w:r w:rsidR="002C5007">
              <w:rPr>
                <w:rFonts w:cs="Arial"/>
                <w:sz w:val="24"/>
              </w:rPr>
              <w:t>C</w:t>
            </w:r>
            <w:r w:rsidRPr="00404C81">
              <w:rPr>
                <w:rFonts w:cs="Arial"/>
                <w:sz w:val="24"/>
              </w:rPr>
              <w:t>opies</w:t>
            </w:r>
          </w:p>
        </w:tc>
        <w:tc>
          <w:tcPr>
            <w:tcW w:w="5704" w:type="dxa"/>
            <w:vAlign w:val="center"/>
          </w:tcPr>
          <w:p w14:paraId="269C061F" w14:textId="14ADF407" w:rsidR="00C7143A" w:rsidRPr="009C0778" w:rsidRDefault="00942E67" w:rsidP="005E598F">
            <w:pPr>
              <w:spacing w:after="0"/>
              <w:rPr>
                <w:rFonts w:cs="Arial"/>
                <w:sz w:val="24"/>
              </w:rPr>
            </w:pPr>
            <w:r>
              <w:rPr>
                <w:rFonts w:cs="Arial"/>
                <w:sz w:val="24"/>
              </w:rPr>
              <w:t>Q pulse</w:t>
            </w:r>
          </w:p>
        </w:tc>
      </w:tr>
    </w:tbl>
    <w:p w14:paraId="0004605C" w14:textId="77777777" w:rsidR="000D24AC" w:rsidRPr="00404C81" w:rsidRDefault="000D24AC" w:rsidP="00DF2D9D">
      <w:pPr>
        <w:rPr>
          <w:rFonts w:cs="Arial"/>
        </w:rPr>
      </w:pPr>
    </w:p>
    <w:p w14:paraId="42F15F12" w14:textId="77777777" w:rsidR="000D24AC" w:rsidRPr="00404C81" w:rsidRDefault="00D257AA" w:rsidP="00DF2D9D">
      <w:pPr>
        <w:rPr>
          <w:rFonts w:cs="Arial"/>
        </w:rPr>
      </w:pPr>
      <w:r>
        <w:rPr>
          <w:rFonts w:cs="Arial"/>
          <w:noProof/>
          <w:sz w:val="20"/>
          <w:lang w:eastAsia="en-GB"/>
        </w:rPr>
        <mc:AlternateContent>
          <mc:Choice Requires="wps">
            <w:drawing>
              <wp:anchor distT="0" distB="0" distL="114300" distR="114300" simplePos="0" relativeHeight="251656704" behindDoc="0" locked="0" layoutInCell="1" allowOverlap="1" wp14:anchorId="510A9F62" wp14:editId="1F916578">
                <wp:simplePos x="0" y="0"/>
                <wp:positionH relativeFrom="column">
                  <wp:posOffset>-47625</wp:posOffset>
                </wp:positionH>
                <wp:positionV relativeFrom="paragraph">
                  <wp:posOffset>165100</wp:posOffset>
                </wp:positionV>
                <wp:extent cx="5715000" cy="15341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14:paraId="575EF781" w14:textId="77777777" w:rsidR="00BA4840" w:rsidRDefault="00BA4840"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7149E893" w14:textId="286CFAB5" w:rsidR="00BA4840" w:rsidRPr="00956B67" w:rsidRDefault="00BA4840" w:rsidP="00C7143A">
                            <w:pPr>
                              <w:rPr>
                                <w:rFonts w:cs="Arial"/>
                                <w:b/>
                                <w:bCs/>
                                <w:sz w:val="24"/>
                                <w:szCs w:val="24"/>
                                <w:u w:val="single"/>
                              </w:rPr>
                            </w:pPr>
                          </w:p>
                          <w:p w14:paraId="3B6C5201" w14:textId="3C31C97C" w:rsidR="00BA4840" w:rsidRPr="00755204" w:rsidRDefault="00755204" w:rsidP="00DF5D9F">
                            <w:pPr>
                              <w:rPr>
                                <w:rFonts w:cs="Arial"/>
                                <w:sz w:val="24"/>
                                <w:szCs w:val="24"/>
                              </w:rPr>
                            </w:pPr>
                            <w:r w:rsidRPr="00755204">
                              <w:rPr>
                                <w:rFonts w:cs="Arial"/>
                                <w:sz w:val="24"/>
                                <w:szCs w:val="24"/>
                              </w:rPr>
                              <w:t>Clarification of Cuvette storage temperatures</w:t>
                            </w:r>
                            <w:r>
                              <w:rPr>
                                <w:rFonts w:cs="Arial"/>
                                <w:sz w:val="24"/>
                                <w:szCs w:val="24"/>
                              </w:rPr>
                              <w:t xml:space="preserve"> 15-30 degrees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3pt;width:450pt;height:12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">
                <v:textbox>
                  <w:txbxContent>
                    <w:p w14:paraId="575EF781" w14:textId="77777777" w:rsidR="00BA4840" w:rsidRDefault="00BA4840"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14:paraId="7149E893" w14:textId="286CFAB5" w:rsidR="00BA4840" w:rsidRPr="00956B67" w:rsidRDefault="00BA4840" w:rsidP="00C7143A">
                      <w:pPr>
                        <w:rPr>
                          <w:rFonts w:cs="Arial"/>
                          <w:b/>
                          <w:bCs/>
                          <w:sz w:val="24"/>
                          <w:szCs w:val="24"/>
                          <w:u w:val="single"/>
                        </w:rPr>
                      </w:pPr>
                    </w:p>
                    <w:p w14:paraId="3B6C5201" w14:textId="3C31C97C" w:rsidR="00BA4840" w:rsidRPr="00755204" w:rsidRDefault="00755204" w:rsidP="00DF5D9F">
                      <w:pPr>
                        <w:rPr>
                          <w:rFonts w:cs="Arial"/>
                          <w:sz w:val="24"/>
                          <w:szCs w:val="24"/>
                        </w:rPr>
                      </w:pPr>
                      <w:r w:rsidRPr="00755204">
                        <w:rPr>
                          <w:rFonts w:cs="Arial"/>
                          <w:sz w:val="24"/>
                          <w:szCs w:val="24"/>
                        </w:rPr>
                        <w:t>Clarification of Cuvette storage temperatures</w:t>
                      </w:r>
                      <w:r>
                        <w:rPr>
                          <w:rFonts w:cs="Arial"/>
                          <w:sz w:val="24"/>
                          <w:szCs w:val="24"/>
                        </w:rPr>
                        <w:t xml:space="preserve"> 15-30 degrees</w:t>
                      </w:r>
                    </w:p>
                  </w:txbxContent>
                </v:textbox>
              </v:shape>
            </w:pict>
          </mc:Fallback>
        </mc:AlternateContent>
      </w:r>
    </w:p>
    <w:p w14:paraId="40D9117A" w14:textId="77777777" w:rsidR="000D24AC" w:rsidRPr="00404C81" w:rsidRDefault="000D24AC" w:rsidP="00DF2D9D">
      <w:pPr>
        <w:rPr>
          <w:rFonts w:cs="Arial"/>
        </w:rPr>
      </w:pPr>
    </w:p>
    <w:p w14:paraId="62805826" w14:textId="77777777" w:rsidR="000D24AC" w:rsidRPr="00404C81" w:rsidRDefault="000D24AC" w:rsidP="00DF2D9D">
      <w:pPr>
        <w:rPr>
          <w:rFonts w:cs="Arial"/>
        </w:rPr>
      </w:pPr>
    </w:p>
    <w:p w14:paraId="70C29A0B" w14:textId="77777777" w:rsidR="000D24AC" w:rsidRPr="00404C81" w:rsidRDefault="000D24AC" w:rsidP="00DF2D9D">
      <w:pPr>
        <w:rPr>
          <w:rFonts w:cs="Arial"/>
        </w:rPr>
      </w:pPr>
    </w:p>
    <w:p w14:paraId="749C9BF1" w14:textId="77777777" w:rsidR="000D24AC" w:rsidRPr="00404C81" w:rsidRDefault="000D24AC" w:rsidP="00DF2D9D">
      <w:pPr>
        <w:rPr>
          <w:rFonts w:cs="Arial"/>
        </w:rPr>
      </w:pPr>
    </w:p>
    <w:p w14:paraId="371767CF" w14:textId="77777777" w:rsidR="000D24AC" w:rsidRPr="00404C81" w:rsidRDefault="000D24AC" w:rsidP="00DF2D9D">
      <w:pPr>
        <w:rPr>
          <w:rFonts w:cs="Arial"/>
        </w:rPr>
      </w:pPr>
    </w:p>
    <w:p w14:paraId="17F64266" w14:textId="77777777" w:rsidR="000E777E" w:rsidRDefault="00F10D2E" w:rsidP="00DF2D9D">
      <w:pPr>
        <w:rPr>
          <w:rFonts w:cs="Arial"/>
        </w:rPr>
      </w:pPr>
      <w:r>
        <w:rPr>
          <w:rFonts w:cs="Arial"/>
        </w:rPr>
        <w:br w:type="page"/>
      </w:r>
    </w:p>
    <w:p w14:paraId="5D5E007F" w14:textId="77777777" w:rsidR="000D24AC" w:rsidRPr="00F10D2E" w:rsidRDefault="00F10D2E" w:rsidP="00DF2D9D">
      <w:pPr>
        <w:rPr>
          <w:rFonts w:cs="Arial"/>
          <w:b/>
        </w:rPr>
      </w:pPr>
      <w:r w:rsidRPr="00F10D2E">
        <w:rPr>
          <w:rFonts w:cs="Arial"/>
          <w:b/>
        </w:rPr>
        <w:lastRenderedPageBreak/>
        <w:t>Contents:</w:t>
      </w:r>
    </w:p>
    <w:p w14:paraId="00000EF7" w14:textId="77777777" w:rsidR="00942E67" w:rsidRDefault="00B550D2">
      <w:pPr>
        <w:pStyle w:val="TOC1"/>
        <w:tabs>
          <w:tab w:val="left" w:pos="440"/>
          <w:tab w:val="right" w:leader="dot" w:pos="9628"/>
        </w:tabs>
        <w:rPr>
          <w:rFonts w:asciiTheme="minorHAnsi" w:eastAsiaTheme="minorEastAsia" w:hAnsiTheme="minorHAnsi" w:cstheme="minorBidi"/>
          <w:b w:val="0"/>
          <w:bCs w:val="0"/>
          <w:noProof/>
          <w:szCs w:val="22"/>
          <w:lang w:eastAsia="en-GB"/>
        </w:rPr>
      </w:pPr>
      <w:r>
        <w:rPr>
          <w:rFonts w:cs="Arial"/>
        </w:rPr>
        <w:fldChar w:fldCharType="begin"/>
      </w:r>
      <w:r>
        <w:rPr>
          <w:rFonts w:cs="Arial"/>
        </w:rPr>
        <w:instrText xml:space="preserve"> TOC \o "1-1" \h \z \u </w:instrText>
      </w:r>
      <w:r>
        <w:rPr>
          <w:rFonts w:cs="Arial"/>
        </w:rPr>
        <w:fldChar w:fldCharType="separate"/>
      </w:r>
      <w:hyperlink w:anchor="_Toc77952901" w:history="1">
        <w:r w:rsidR="00942E67" w:rsidRPr="00A04C8E">
          <w:rPr>
            <w:rStyle w:val="Hyperlink"/>
            <w:noProof/>
          </w:rPr>
          <w:t>1</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Purpose and Principle</w:t>
        </w:r>
        <w:r w:rsidR="00942E67">
          <w:rPr>
            <w:noProof/>
            <w:webHidden/>
          </w:rPr>
          <w:tab/>
        </w:r>
        <w:r w:rsidR="00942E67">
          <w:rPr>
            <w:noProof/>
            <w:webHidden/>
          </w:rPr>
          <w:fldChar w:fldCharType="begin"/>
        </w:r>
        <w:r w:rsidR="00942E67">
          <w:rPr>
            <w:noProof/>
            <w:webHidden/>
          </w:rPr>
          <w:instrText xml:space="preserve"> PAGEREF _Toc77952901 \h </w:instrText>
        </w:r>
        <w:r w:rsidR="00942E67">
          <w:rPr>
            <w:noProof/>
            <w:webHidden/>
          </w:rPr>
        </w:r>
        <w:r w:rsidR="00942E67">
          <w:rPr>
            <w:noProof/>
            <w:webHidden/>
          </w:rPr>
          <w:fldChar w:fldCharType="separate"/>
        </w:r>
        <w:r w:rsidR="00942E67">
          <w:rPr>
            <w:noProof/>
            <w:webHidden/>
          </w:rPr>
          <w:t>3</w:t>
        </w:r>
        <w:r w:rsidR="00942E67">
          <w:rPr>
            <w:noProof/>
            <w:webHidden/>
          </w:rPr>
          <w:fldChar w:fldCharType="end"/>
        </w:r>
      </w:hyperlink>
    </w:p>
    <w:p w14:paraId="1D4AC6FD"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2" w:history="1">
        <w:r w:rsidR="00942E67" w:rsidRPr="00A04C8E">
          <w:rPr>
            <w:rStyle w:val="Hyperlink"/>
            <w:noProof/>
          </w:rPr>
          <w:t>2</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References</w:t>
        </w:r>
        <w:r w:rsidR="00942E67">
          <w:rPr>
            <w:noProof/>
            <w:webHidden/>
          </w:rPr>
          <w:tab/>
        </w:r>
        <w:r w:rsidR="00942E67">
          <w:rPr>
            <w:noProof/>
            <w:webHidden/>
          </w:rPr>
          <w:fldChar w:fldCharType="begin"/>
        </w:r>
        <w:r w:rsidR="00942E67">
          <w:rPr>
            <w:noProof/>
            <w:webHidden/>
          </w:rPr>
          <w:instrText xml:space="preserve"> PAGEREF _Toc77952902 \h </w:instrText>
        </w:r>
        <w:r w:rsidR="00942E67">
          <w:rPr>
            <w:noProof/>
            <w:webHidden/>
          </w:rPr>
        </w:r>
        <w:r w:rsidR="00942E67">
          <w:rPr>
            <w:noProof/>
            <w:webHidden/>
          </w:rPr>
          <w:fldChar w:fldCharType="separate"/>
        </w:r>
        <w:r w:rsidR="00942E67">
          <w:rPr>
            <w:noProof/>
            <w:webHidden/>
          </w:rPr>
          <w:t>3</w:t>
        </w:r>
        <w:r w:rsidR="00942E67">
          <w:rPr>
            <w:noProof/>
            <w:webHidden/>
          </w:rPr>
          <w:fldChar w:fldCharType="end"/>
        </w:r>
      </w:hyperlink>
    </w:p>
    <w:p w14:paraId="58C0A6A9"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3" w:history="1">
        <w:r w:rsidR="00942E67" w:rsidRPr="00A04C8E">
          <w:rPr>
            <w:rStyle w:val="Hyperlink"/>
            <w:noProof/>
          </w:rPr>
          <w:t>3</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Equipment</w:t>
        </w:r>
        <w:r w:rsidR="00942E67">
          <w:rPr>
            <w:noProof/>
            <w:webHidden/>
          </w:rPr>
          <w:tab/>
        </w:r>
        <w:r w:rsidR="00942E67">
          <w:rPr>
            <w:noProof/>
            <w:webHidden/>
          </w:rPr>
          <w:fldChar w:fldCharType="begin"/>
        </w:r>
        <w:r w:rsidR="00942E67">
          <w:rPr>
            <w:noProof/>
            <w:webHidden/>
          </w:rPr>
          <w:instrText xml:space="preserve"> PAGEREF _Toc77952903 \h </w:instrText>
        </w:r>
        <w:r w:rsidR="00942E67">
          <w:rPr>
            <w:noProof/>
            <w:webHidden/>
          </w:rPr>
        </w:r>
        <w:r w:rsidR="00942E67">
          <w:rPr>
            <w:noProof/>
            <w:webHidden/>
          </w:rPr>
          <w:fldChar w:fldCharType="separate"/>
        </w:r>
        <w:r w:rsidR="00942E67">
          <w:rPr>
            <w:noProof/>
            <w:webHidden/>
          </w:rPr>
          <w:t>3</w:t>
        </w:r>
        <w:r w:rsidR="00942E67">
          <w:rPr>
            <w:noProof/>
            <w:webHidden/>
          </w:rPr>
          <w:fldChar w:fldCharType="end"/>
        </w:r>
      </w:hyperlink>
    </w:p>
    <w:p w14:paraId="71C68559"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4" w:history="1">
        <w:r w:rsidR="00942E67" w:rsidRPr="00A04C8E">
          <w:rPr>
            <w:rStyle w:val="Hyperlink"/>
            <w:noProof/>
          </w:rPr>
          <w:t>4</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Personnel Authorised to Perform Procedure</w:t>
        </w:r>
        <w:r w:rsidR="00942E67">
          <w:rPr>
            <w:noProof/>
            <w:webHidden/>
          </w:rPr>
          <w:tab/>
        </w:r>
        <w:r w:rsidR="00942E67">
          <w:rPr>
            <w:noProof/>
            <w:webHidden/>
          </w:rPr>
          <w:fldChar w:fldCharType="begin"/>
        </w:r>
        <w:r w:rsidR="00942E67">
          <w:rPr>
            <w:noProof/>
            <w:webHidden/>
          </w:rPr>
          <w:instrText xml:space="preserve"> PAGEREF _Toc77952904 \h </w:instrText>
        </w:r>
        <w:r w:rsidR="00942E67">
          <w:rPr>
            <w:noProof/>
            <w:webHidden/>
          </w:rPr>
        </w:r>
        <w:r w:rsidR="00942E67">
          <w:rPr>
            <w:noProof/>
            <w:webHidden/>
          </w:rPr>
          <w:fldChar w:fldCharType="separate"/>
        </w:r>
        <w:r w:rsidR="00942E67">
          <w:rPr>
            <w:noProof/>
            <w:webHidden/>
          </w:rPr>
          <w:t>4</w:t>
        </w:r>
        <w:r w:rsidR="00942E67">
          <w:rPr>
            <w:noProof/>
            <w:webHidden/>
          </w:rPr>
          <w:fldChar w:fldCharType="end"/>
        </w:r>
      </w:hyperlink>
    </w:p>
    <w:p w14:paraId="67F68D02"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5" w:history="1">
        <w:r w:rsidR="00942E67" w:rsidRPr="00A04C8E">
          <w:rPr>
            <w:rStyle w:val="Hyperlink"/>
            <w:noProof/>
          </w:rPr>
          <w:t>5</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Sample Requirements (including COSHH Risk Assessment &amp; First Aid)</w:t>
        </w:r>
        <w:r w:rsidR="00942E67">
          <w:rPr>
            <w:noProof/>
            <w:webHidden/>
          </w:rPr>
          <w:tab/>
        </w:r>
        <w:r w:rsidR="00942E67">
          <w:rPr>
            <w:noProof/>
            <w:webHidden/>
          </w:rPr>
          <w:fldChar w:fldCharType="begin"/>
        </w:r>
        <w:r w:rsidR="00942E67">
          <w:rPr>
            <w:noProof/>
            <w:webHidden/>
          </w:rPr>
          <w:instrText xml:space="preserve"> PAGEREF _Toc77952905 \h </w:instrText>
        </w:r>
        <w:r w:rsidR="00942E67">
          <w:rPr>
            <w:noProof/>
            <w:webHidden/>
          </w:rPr>
        </w:r>
        <w:r w:rsidR="00942E67">
          <w:rPr>
            <w:noProof/>
            <w:webHidden/>
          </w:rPr>
          <w:fldChar w:fldCharType="separate"/>
        </w:r>
        <w:r w:rsidR="00942E67">
          <w:rPr>
            <w:noProof/>
            <w:webHidden/>
          </w:rPr>
          <w:t>4</w:t>
        </w:r>
        <w:r w:rsidR="00942E67">
          <w:rPr>
            <w:noProof/>
            <w:webHidden/>
          </w:rPr>
          <w:fldChar w:fldCharType="end"/>
        </w:r>
      </w:hyperlink>
    </w:p>
    <w:p w14:paraId="788C724B"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6" w:history="1">
        <w:r w:rsidR="00942E67" w:rsidRPr="00A04C8E">
          <w:rPr>
            <w:rStyle w:val="Hyperlink"/>
            <w:noProof/>
          </w:rPr>
          <w:t>6</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Chemicals (including COSHH Risk Assessment &amp; First Aid)</w:t>
        </w:r>
        <w:r w:rsidR="00942E67">
          <w:rPr>
            <w:noProof/>
            <w:webHidden/>
          </w:rPr>
          <w:tab/>
        </w:r>
        <w:r w:rsidR="00942E67">
          <w:rPr>
            <w:noProof/>
            <w:webHidden/>
          </w:rPr>
          <w:fldChar w:fldCharType="begin"/>
        </w:r>
        <w:r w:rsidR="00942E67">
          <w:rPr>
            <w:noProof/>
            <w:webHidden/>
          </w:rPr>
          <w:instrText xml:space="preserve"> PAGEREF _Toc77952906 \h </w:instrText>
        </w:r>
        <w:r w:rsidR="00942E67">
          <w:rPr>
            <w:noProof/>
            <w:webHidden/>
          </w:rPr>
        </w:r>
        <w:r w:rsidR="00942E67">
          <w:rPr>
            <w:noProof/>
            <w:webHidden/>
          </w:rPr>
          <w:fldChar w:fldCharType="separate"/>
        </w:r>
        <w:r w:rsidR="00942E67">
          <w:rPr>
            <w:noProof/>
            <w:webHidden/>
          </w:rPr>
          <w:t>5</w:t>
        </w:r>
        <w:r w:rsidR="00942E67">
          <w:rPr>
            <w:noProof/>
            <w:webHidden/>
          </w:rPr>
          <w:fldChar w:fldCharType="end"/>
        </w:r>
      </w:hyperlink>
    </w:p>
    <w:p w14:paraId="3F09AF04"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7" w:history="1">
        <w:r w:rsidR="00942E67" w:rsidRPr="00A04C8E">
          <w:rPr>
            <w:rStyle w:val="Hyperlink"/>
            <w:noProof/>
          </w:rPr>
          <w:t>7</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Reagents</w:t>
        </w:r>
        <w:r w:rsidR="00942E67">
          <w:rPr>
            <w:noProof/>
            <w:webHidden/>
          </w:rPr>
          <w:tab/>
        </w:r>
        <w:r w:rsidR="00942E67">
          <w:rPr>
            <w:noProof/>
            <w:webHidden/>
          </w:rPr>
          <w:fldChar w:fldCharType="begin"/>
        </w:r>
        <w:r w:rsidR="00942E67">
          <w:rPr>
            <w:noProof/>
            <w:webHidden/>
          </w:rPr>
          <w:instrText xml:space="preserve"> PAGEREF _Toc77952907 \h </w:instrText>
        </w:r>
        <w:r w:rsidR="00942E67">
          <w:rPr>
            <w:noProof/>
            <w:webHidden/>
          </w:rPr>
        </w:r>
        <w:r w:rsidR="00942E67">
          <w:rPr>
            <w:noProof/>
            <w:webHidden/>
          </w:rPr>
          <w:fldChar w:fldCharType="separate"/>
        </w:r>
        <w:r w:rsidR="00942E67">
          <w:rPr>
            <w:noProof/>
            <w:webHidden/>
          </w:rPr>
          <w:t>6</w:t>
        </w:r>
        <w:r w:rsidR="00942E67">
          <w:rPr>
            <w:noProof/>
            <w:webHidden/>
          </w:rPr>
          <w:fldChar w:fldCharType="end"/>
        </w:r>
      </w:hyperlink>
    </w:p>
    <w:p w14:paraId="718C0B62"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8" w:history="1">
        <w:r w:rsidR="00942E67" w:rsidRPr="00A04C8E">
          <w:rPr>
            <w:rStyle w:val="Hyperlink"/>
            <w:noProof/>
          </w:rPr>
          <w:t>8</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Risk Assessment</w:t>
        </w:r>
        <w:r w:rsidR="00942E67">
          <w:rPr>
            <w:noProof/>
            <w:webHidden/>
          </w:rPr>
          <w:tab/>
        </w:r>
        <w:r w:rsidR="00942E67">
          <w:rPr>
            <w:noProof/>
            <w:webHidden/>
          </w:rPr>
          <w:fldChar w:fldCharType="begin"/>
        </w:r>
        <w:r w:rsidR="00942E67">
          <w:rPr>
            <w:noProof/>
            <w:webHidden/>
          </w:rPr>
          <w:instrText xml:space="preserve"> PAGEREF _Toc77952908 \h </w:instrText>
        </w:r>
        <w:r w:rsidR="00942E67">
          <w:rPr>
            <w:noProof/>
            <w:webHidden/>
          </w:rPr>
        </w:r>
        <w:r w:rsidR="00942E67">
          <w:rPr>
            <w:noProof/>
            <w:webHidden/>
          </w:rPr>
          <w:fldChar w:fldCharType="separate"/>
        </w:r>
        <w:r w:rsidR="00942E67">
          <w:rPr>
            <w:noProof/>
            <w:webHidden/>
          </w:rPr>
          <w:t>6</w:t>
        </w:r>
        <w:r w:rsidR="00942E67">
          <w:rPr>
            <w:noProof/>
            <w:webHidden/>
          </w:rPr>
          <w:fldChar w:fldCharType="end"/>
        </w:r>
      </w:hyperlink>
    </w:p>
    <w:p w14:paraId="249DB420" w14:textId="77777777" w:rsidR="00942E67" w:rsidRDefault="0087525E">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7952909" w:history="1">
        <w:r w:rsidR="00942E67" w:rsidRPr="00A04C8E">
          <w:rPr>
            <w:rStyle w:val="Hyperlink"/>
            <w:noProof/>
          </w:rPr>
          <w:t>9</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Calibration</w:t>
        </w:r>
        <w:r w:rsidR="00942E67">
          <w:rPr>
            <w:noProof/>
            <w:webHidden/>
          </w:rPr>
          <w:tab/>
        </w:r>
        <w:r w:rsidR="00942E67">
          <w:rPr>
            <w:noProof/>
            <w:webHidden/>
          </w:rPr>
          <w:fldChar w:fldCharType="begin"/>
        </w:r>
        <w:r w:rsidR="00942E67">
          <w:rPr>
            <w:noProof/>
            <w:webHidden/>
          </w:rPr>
          <w:instrText xml:space="preserve"> PAGEREF _Toc77952909 \h </w:instrText>
        </w:r>
        <w:r w:rsidR="00942E67">
          <w:rPr>
            <w:noProof/>
            <w:webHidden/>
          </w:rPr>
        </w:r>
        <w:r w:rsidR="00942E67">
          <w:rPr>
            <w:noProof/>
            <w:webHidden/>
          </w:rPr>
          <w:fldChar w:fldCharType="separate"/>
        </w:r>
        <w:r w:rsidR="00942E67">
          <w:rPr>
            <w:noProof/>
            <w:webHidden/>
          </w:rPr>
          <w:t>6</w:t>
        </w:r>
        <w:r w:rsidR="00942E67">
          <w:rPr>
            <w:noProof/>
            <w:webHidden/>
          </w:rPr>
          <w:fldChar w:fldCharType="end"/>
        </w:r>
      </w:hyperlink>
    </w:p>
    <w:p w14:paraId="5113FD53" w14:textId="77777777" w:rsidR="00942E67" w:rsidRDefault="0087525E">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7952910" w:history="1">
        <w:r w:rsidR="00942E67" w:rsidRPr="00A04C8E">
          <w:rPr>
            <w:rStyle w:val="Hyperlink"/>
            <w:noProof/>
          </w:rPr>
          <w:t>10</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Quality Control</w:t>
        </w:r>
        <w:r w:rsidR="00942E67">
          <w:rPr>
            <w:noProof/>
            <w:webHidden/>
          </w:rPr>
          <w:tab/>
        </w:r>
        <w:r w:rsidR="00942E67">
          <w:rPr>
            <w:noProof/>
            <w:webHidden/>
          </w:rPr>
          <w:fldChar w:fldCharType="begin"/>
        </w:r>
        <w:r w:rsidR="00942E67">
          <w:rPr>
            <w:noProof/>
            <w:webHidden/>
          </w:rPr>
          <w:instrText xml:space="preserve"> PAGEREF _Toc77952910 \h </w:instrText>
        </w:r>
        <w:r w:rsidR="00942E67">
          <w:rPr>
            <w:noProof/>
            <w:webHidden/>
          </w:rPr>
        </w:r>
        <w:r w:rsidR="00942E67">
          <w:rPr>
            <w:noProof/>
            <w:webHidden/>
          </w:rPr>
          <w:fldChar w:fldCharType="separate"/>
        </w:r>
        <w:r w:rsidR="00942E67">
          <w:rPr>
            <w:noProof/>
            <w:webHidden/>
          </w:rPr>
          <w:t>6</w:t>
        </w:r>
        <w:r w:rsidR="00942E67">
          <w:rPr>
            <w:noProof/>
            <w:webHidden/>
          </w:rPr>
          <w:fldChar w:fldCharType="end"/>
        </w:r>
      </w:hyperlink>
    </w:p>
    <w:p w14:paraId="06EA40DB" w14:textId="77777777" w:rsidR="00942E67" w:rsidRDefault="0087525E">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7952911" w:history="1">
        <w:r w:rsidR="00942E67" w:rsidRPr="00A04C8E">
          <w:rPr>
            <w:rStyle w:val="Hyperlink"/>
            <w:noProof/>
          </w:rPr>
          <w:t>11</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Method</w:t>
        </w:r>
        <w:r w:rsidR="00942E67">
          <w:rPr>
            <w:noProof/>
            <w:webHidden/>
          </w:rPr>
          <w:tab/>
        </w:r>
        <w:r w:rsidR="00942E67">
          <w:rPr>
            <w:noProof/>
            <w:webHidden/>
          </w:rPr>
          <w:fldChar w:fldCharType="begin"/>
        </w:r>
        <w:r w:rsidR="00942E67">
          <w:rPr>
            <w:noProof/>
            <w:webHidden/>
          </w:rPr>
          <w:instrText xml:space="preserve"> PAGEREF _Toc77952911 \h </w:instrText>
        </w:r>
        <w:r w:rsidR="00942E67">
          <w:rPr>
            <w:noProof/>
            <w:webHidden/>
          </w:rPr>
        </w:r>
        <w:r w:rsidR="00942E67">
          <w:rPr>
            <w:noProof/>
            <w:webHidden/>
          </w:rPr>
          <w:fldChar w:fldCharType="separate"/>
        </w:r>
        <w:r w:rsidR="00942E67">
          <w:rPr>
            <w:noProof/>
            <w:webHidden/>
          </w:rPr>
          <w:t>7</w:t>
        </w:r>
        <w:r w:rsidR="00942E67">
          <w:rPr>
            <w:noProof/>
            <w:webHidden/>
          </w:rPr>
          <w:fldChar w:fldCharType="end"/>
        </w:r>
      </w:hyperlink>
    </w:p>
    <w:p w14:paraId="63C6D405" w14:textId="77777777" w:rsidR="00942E67" w:rsidRDefault="0087525E">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7952912" w:history="1">
        <w:r w:rsidR="00942E67" w:rsidRPr="00A04C8E">
          <w:rPr>
            <w:rStyle w:val="Hyperlink"/>
            <w:noProof/>
          </w:rPr>
          <w:t>12</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Reporting of Results</w:t>
        </w:r>
        <w:r w:rsidR="00942E67">
          <w:rPr>
            <w:noProof/>
            <w:webHidden/>
          </w:rPr>
          <w:tab/>
        </w:r>
        <w:r w:rsidR="00942E67">
          <w:rPr>
            <w:noProof/>
            <w:webHidden/>
          </w:rPr>
          <w:fldChar w:fldCharType="begin"/>
        </w:r>
        <w:r w:rsidR="00942E67">
          <w:rPr>
            <w:noProof/>
            <w:webHidden/>
          </w:rPr>
          <w:instrText xml:space="preserve"> PAGEREF _Toc77952912 \h </w:instrText>
        </w:r>
        <w:r w:rsidR="00942E67">
          <w:rPr>
            <w:noProof/>
            <w:webHidden/>
          </w:rPr>
        </w:r>
        <w:r w:rsidR="00942E67">
          <w:rPr>
            <w:noProof/>
            <w:webHidden/>
          </w:rPr>
          <w:fldChar w:fldCharType="separate"/>
        </w:r>
        <w:r w:rsidR="00942E67">
          <w:rPr>
            <w:noProof/>
            <w:webHidden/>
          </w:rPr>
          <w:t>7</w:t>
        </w:r>
        <w:r w:rsidR="00942E67">
          <w:rPr>
            <w:noProof/>
            <w:webHidden/>
          </w:rPr>
          <w:fldChar w:fldCharType="end"/>
        </w:r>
      </w:hyperlink>
    </w:p>
    <w:p w14:paraId="5DC0A213" w14:textId="77777777" w:rsidR="00942E67" w:rsidRDefault="0087525E">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7952913" w:history="1">
        <w:r w:rsidR="00942E67" w:rsidRPr="00A04C8E">
          <w:rPr>
            <w:rStyle w:val="Hyperlink"/>
            <w:noProof/>
          </w:rPr>
          <w:t>13</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Reference Ranges</w:t>
        </w:r>
        <w:r w:rsidR="00942E67">
          <w:rPr>
            <w:noProof/>
            <w:webHidden/>
          </w:rPr>
          <w:tab/>
        </w:r>
        <w:r w:rsidR="00942E67">
          <w:rPr>
            <w:noProof/>
            <w:webHidden/>
          </w:rPr>
          <w:fldChar w:fldCharType="begin"/>
        </w:r>
        <w:r w:rsidR="00942E67">
          <w:rPr>
            <w:noProof/>
            <w:webHidden/>
          </w:rPr>
          <w:instrText xml:space="preserve"> PAGEREF _Toc77952913 \h </w:instrText>
        </w:r>
        <w:r w:rsidR="00942E67">
          <w:rPr>
            <w:noProof/>
            <w:webHidden/>
          </w:rPr>
        </w:r>
        <w:r w:rsidR="00942E67">
          <w:rPr>
            <w:noProof/>
            <w:webHidden/>
          </w:rPr>
          <w:fldChar w:fldCharType="separate"/>
        </w:r>
        <w:r w:rsidR="00942E67">
          <w:rPr>
            <w:noProof/>
            <w:webHidden/>
          </w:rPr>
          <w:t>7</w:t>
        </w:r>
        <w:r w:rsidR="00942E67">
          <w:rPr>
            <w:noProof/>
            <w:webHidden/>
          </w:rPr>
          <w:fldChar w:fldCharType="end"/>
        </w:r>
      </w:hyperlink>
    </w:p>
    <w:p w14:paraId="4216A013" w14:textId="77777777" w:rsidR="00942E67" w:rsidRDefault="0087525E">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7952914" w:history="1">
        <w:r w:rsidR="00942E67" w:rsidRPr="00A04C8E">
          <w:rPr>
            <w:rStyle w:val="Hyperlink"/>
            <w:noProof/>
          </w:rPr>
          <w:t>14</w:t>
        </w:r>
        <w:r w:rsidR="00942E67">
          <w:rPr>
            <w:rFonts w:asciiTheme="minorHAnsi" w:eastAsiaTheme="minorEastAsia" w:hAnsiTheme="minorHAnsi" w:cstheme="minorBidi"/>
            <w:b w:val="0"/>
            <w:bCs w:val="0"/>
            <w:noProof/>
            <w:szCs w:val="22"/>
            <w:lang w:eastAsia="en-GB"/>
          </w:rPr>
          <w:tab/>
        </w:r>
        <w:r w:rsidR="00942E67" w:rsidRPr="00A04C8E">
          <w:rPr>
            <w:rStyle w:val="Hyperlink"/>
            <w:noProof/>
          </w:rPr>
          <w:t>Assay Performance &amp; Known Limitations</w:t>
        </w:r>
        <w:r w:rsidR="00942E67">
          <w:rPr>
            <w:noProof/>
            <w:webHidden/>
          </w:rPr>
          <w:tab/>
        </w:r>
        <w:r w:rsidR="00942E67">
          <w:rPr>
            <w:noProof/>
            <w:webHidden/>
          </w:rPr>
          <w:fldChar w:fldCharType="begin"/>
        </w:r>
        <w:r w:rsidR="00942E67">
          <w:rPr>
            <w:noProof/>
            <w:webHidden/>
          </w:rPr>
          <w:instrText xml:space="preserve"> PAGEREF _Toc77952914 \h </w:instrText>
        </w:r>
        <w:r w:rsidR="00942E67">
          <w:rPr>
            <w:noProof/>
            <w:webHidden/>
          </w:rPr>
        </w:r>
        <w:r w:rsidR="00942E67">
          <w:rPr>
            <w:noProof/>
            <w:webHidden/>
          </w:rPr>
          <w:fldChar w:fldCharType="separate"/>
        </w:r>
        <w:r w:rsidR="00942E67">
          <w:rPr>
            <w:noProof/>
            <w:webHidden/>
          </w:rPr>
          <w:t>7</w:t>
        </w:r>
        <w:r w:rsidR="00942E67">
          <w:rPr>
            <w:noProof/>
            <w:webHidden/>
          </w:rPr>
          <w:fldChar w:fldCharType="end"/>
        </w:r>
      </w:hyperlink>
    </w:p>
    <w:p w14:paraId="42DC29C4" w14:textId="027D3B3F" w:rsidR="00F10D2E" w:rsidRPr="006C531D" w:rsidRDefault="00B550D2" w:rsidP="00F9747B">
      <w:pPr>
        <w:spacing w:before="120"/>
        <w:rPr>
          <w:rFonts w:cs="Arial"/>
        </w:rPr>
        <w:sectPr w:rsidR="00F10D2E" w:rsidRPr="006C531D" w:rsidSect="002E17FD">
          <w:headerReference w:type="default" r:id="rId9"/>
          <w:pgSz w:w="11906" w:h="16838" w:code="9"/>
          <w:pgMar w:top="1191" w:right="1134" w:bottom="1191" w:left="1134" w:header="397" w:footer="720" w:gutter="0"/>
          <w:paperSrc w:first="15" w:other="15"/>
          <w:cols w:space="720"/>
          <w:docGrid w:linePitch="299"/>
        </w:sectPr>
      </w:pPr>
      <w:r>
        <w:fldChar w:fldCharType="end"/>
      </w:r>
    </w:p>
    <w:p w14:paraId="133B2CCE" w14:textId="25B390DC" w:rsidR="006C531D" w:rsidRDefault="006C531D" w:rsidP="009A3A58">
      <w:bookmarkStart w:id="1" w:name="_Toc213598297"/>
      <w:bookmarkStart w:id="2" w:name="_Toc213598523"/>
    </w:p>
    <w:p w14:paraId="6032A430" w14:textId="77777777" w:rsidR="009A3A58" w:rsidRPr="009A3A58" w:rsidRDefault="009A3A58" w:rsidP="009A3A58"/>
    <w:p w14:paraId="11D1BEF9" w14:textId="77777777" w:rsidR="009A3A58" w:rsidRDefault="009A3A58" w:rsidP="009A3A58"/>
    <w:p w14:paraId="707767C3" w14:textId="77777777" w:rsidR="00942E67" w:rsidRDefault="00942E67" w:rsidP="009A3A58"/>
    <w:p w14:paraId="2FD49F06" w14:textId="77777777" w:rsidR="00942E67" w:rsidRDefault="00942E67" w:rsidP="009A3A58"/>
    <w:p w14:paraId="0AE57456" w14:textId="77777777" w:rsidR="00942E67" w:rsidRDefault="00942E67" w:rsidP="009A3A58"/>
    <w:p w14:paraId="1FACC1D7" w14:textId="77777777" w:rsidR="00942E67" w:rsidRDefault="00942E67" w:rsidP="009A3A58"/>
    <w:p w14:paraId="41950A3B" w14:textId="77777777" w:rsidR="00942E67" w:rsidRDefault="00942E67" w:rsidP="009A3A58"/>
    <w:p w14:paraId="0DB64AF5" w14:textId="77777777" w:rsidR="00942E67" w:rsidRDefault="00942E67" w:rsidP="009A3A58"/>
    <w:p w14:paraId="25666475" w14:textId="77777777" w:rsidR="00942E67" w:rsidRPr="009A3A58" w:rsidRDefault="00942E67" w:rsidP="009A3A58"/>
    <w:p w14:paraId="369821C3" w14:textId="77777777" w:rsidR="009A3A58" w:rsidRPr="009A3A58" w:rsidRDefault="009A3A58" w:rsidP="009A3A58"/>
    <w:p w14:paraId="0553FE60" w14:textId="77777777" w:rsidR="009A3A58" w:rsidRPr="009A3A58" w:rsidRDefault="009A3A58" w:rsidP="009A3A58"/>
    <w:p w14:paraId="025255C3" w14:textId="28A5704C" w:rsidR="000D24AC" w:rsidRDefault="006E1387" w:rsidP="000012D7">
      <w:pPr>
        <w:pStyle w:val="Heading1"/>
      </w:pPr>
      <w:bookmarkStart w:id="3" w:name="_Toc77952901"/>
      <w:r>
        <w:lastRenderedPageBreak/>
        <w:t xml:space="preserve">Purpose and </w:t>
      </w:r>
      <w:r w:rsidR="000D24AC" w:rsidRPr="00F65DE6">
        <w:t>Principle</w:t>
      </w:r>
      <w:bookmarkEnd w:id="1"/>
      <w:bookmarkEnd w:id="2"/>
      <w:bookmarkEnd w:id="3"/>
    </w:p>
    <w:p w14:paraId="761071B1" w14:textId="77777777" w:rsidR="005E598F" w:rsidRDefault="005E598F" w:rsidP="005E598F">
      <w:pPr>
        <w:ind w:left="432"/>
        <w:rPr>
          <w:lang w:val="en-US"/>
        </w:rPr>
      </w:pPr>
      <w:r>
        <w:rPr>
          <w:lang w:val="en-US"/>
        </w:rPr>
        <w:t xml:space="preserve">The </w:t>
      </w:r>
      <w:proofErr w:type="spellStart"/>
      <w:r>
        <w:rPr>
          <w:lang w:val="en-US"/>
        </w:rPr>
        <w:t>Hemo</w:t>
      </w:r>
      <w:proofErr w:type="spellEnd"/>
      <w:r>
        <w:rPr>
          <w:lang w:val="en-US"/>
        </w:rPr>
        <w:t xml:space="preserve"> Control is used to determine the total amount of </w:t>
      </w:r>
      <w:proofErr w:type="spellStart"/>
      <w:r>
        <w:rPr>
          <w:lang w:val="en-US"/>
        </w:rPr>
        <w:t>haemoglobin</w:t>
      </w:r>
      <w:proofErr w:type="spellEnd"/>
      <w:r>
        <w:rPr>
          <w:lang w:val="en-US"/>
        </w:rPr>
        <w:t xml:space="preserve"> in whole blood. The system consists of an analyzer and micro cuvettes containing dried reagents. The micro cuvette serves as a pipette, reaction vessel and measuring cuvette. </w:t>
      </w:r>
    </w:p>
    <w:p w14:paraId="6FE68CE8" w14:textId="77777777" w:rsidR="005E598F" w:rsidRPr="00432338" w:rsidRDefault="005E598F" w:rsidP="005E598F">
      <w:pPr>
        <w:ind w:left="432"/>
        <w:rPr>
          <w:lang w:val="en-US"/>
        </w:rPr>
      </w:pPr>
      <w:r w:rsidRPr="00432338">
        <w:rPr>
          <w:b/>
          <w:lang w:val="en-US"/>
        </w:rPr>
        <w:t>Reaction</w:t>
      </w:r>
      <w:r>
        <w:rPr>
          <w:lang w:val="en-US"/>
        </w:rPr>
        <w:t xml:space="preserve">: </w:t>
      </w:r>
      <w:proofErr w:type="spellStart"/>
      <w:r>
        <w:rPr>
          <w:lang w:val="en-US"/>
        </w:rPr>
        <w:t>Sodiumdeoxychlorate</w:t>
      </w:r>
      <w:proofErr w:type="spellEnd"/>
      <w:r>
        <w:rPr>
          <w:lang w:val="en-US"/>
        </w:rPr>
        <w:t xml:space="preserve"> </w:t>
      </w:r>
      <w:proofErr w:type="spellStart"/>
      <w:r>
        <w:rPr>
          <w:lang w:val="en-US"/>
        </w:rPr>
        <w:t>haemolyses</w:t>
      </w:r>
      <w:proofErr w:type="spellEnd"/>
      <w:r>
        <w:rPr>
          <w:lang w:val="en-US"/>
        </w:rPr>
        <w:t xml:space="preserve"> the erythrocytes releasing the </w:t>
      </w:r>
      <w:proofErr w:type="spellStart"/>
      <w:r>
        <w:rPr>
          <w:lang w:val="en-US"/>
        </w:rPr>
        <w:t>haemoglobin</w:t>
      </w:r>
      <w:proofErr w:type="spellEnd"/>
      <w:r>
        <w:rPr>
          <w:lang w:val="en-US"/>
        </w:rPr>
        <w:t xml:space="preserve">. Sodium nitrite converts </w:t>
      </w:r>
      <w:proofErr w:type="spellStart"/>
      <w:r>
        <w:rPr>
          <w:lang w:val="en-US"/>
        </w:rPr>
        <w:t>haemoglobin</w:t>
      </w:r>
      <w:proofErr w:type="spellEnd"/>
      <w:r>
        <w:rPr>
          <w:lang w:val="en-US"/>
        </w:rPr>
        <w:t xml:space="preserve"> to </w:t>
      </w:r>
      <w:proofErr w:type="spellStart"/>
      <w:r>
        <w:rPr>
          <w:lang w:val="en-US"/>
        </w:rPr>
        <w:t>methaemoglobin</w:t>
      </w:r>
      <w:proofErr w:type="spellEnd"/>
      <w:r>
        <w:rPr>
          <w:lang w:val="en-US"/>
        </w:rPr>
        <w:t xml:space="preserve"> which together with sodium </w:t>
      </w:r>
      <w:proofErr w:type="spellStart"/>
      <w:r>
        <w:rPr>
          <w:lang w:val="en-US"/>
        </w:rPr>
        <w:t>azide</w:t>
      </w:r>
      <w:proofErr w:type="spellEnd"/>
      <w:r>
        <w:rPr>
          <w:lang w:val="en-US"/>
        </w:rPr>
        <w:t xml:space="preserve"> gives </w:t>
      </w:r>
      <w:proofErr w:type="spellStart"/>
      <w:r>
        <w:rPr>
          <w:lang w:val="en-US"/>
        </w:rPr>
        <w:t>azidemethaemoglobin</w:t>
      </w:r>
      <w:proofErr w:type="spellEnd"/>
      <w:r>
        <w:rPr>
          <w:lang w:val="en-US"/>
        </w:rPr>
        <w:t>. The absorbance is measured at two wavelengths (570nm and 880 nm) in order to compensate for turbidity.</w:t>
      </w:r>
    </w:p>
    <w:p w14:paraId="6DD1E14F" w14:textId="77777777" w:rsidR="005E598F" w:rsidRPr="005E598F" w:rsidRDefault="005E598F" w:rsidP="005E598F">
      <w:pPr>
        <w:ind w:left="432"/>
        <w:rPr>
          <w:lang w:val="en-US"/>
        </w:rPr>
      </w:pPr>
    </w:p>
    <w:p w14:paraId="79E38923" w14:textId="2EC51432" w:rsidR="005D5C15" w:rsidRDefault="005D5C15" w:rsidP="000012D7">
      <w:pPr>
        <w:pStyle w:val="Heading1"/>
      </w:pPr>
      <w:bookmarkStart w:id="4" w:name="_Toc77952902"/>
      <w:bookmarkStart w:id="5" w:name="_Toc213598298"/>
      <w:bookmarkStart w:id="6" w:name="_Toc213598524"/>
      <w:r w:rsidRPr="00F65DE6">
        <w:t>References</w:t>
      </w:r>
      <w:bookmarkEnd w:id="4"/>
    </w:p>
    <w:p w14:paraId="3D796711" w14:textId="77777777" w:rsidR="005E598F" w:rsidRPr="00103991" w:rsidRDefault="005E598F" w:rsidP="005E598F">
      <w:pPr>
        <w:spacing w:after="0"/>
        <w:ind w:left="448"/>
        <w:rPr>
          <w:sz w:val="16"/>
          <w:szCs w:val="16"/>
        </w:rPr>
      </w:pPr>
      <w:proofErr w:type="spellStart"/>
      <w:r>
        <w:t>Hemo</w:t>
      </w:r>
      <w:proofErr w:type="spellEnd"/>
      <w:r>
        <w:t xml:space="preserve"> Control Analyser User Manual</w:t>
      </w:r>
    </w:p>
    <w:p w14:paraId="7573D0B7" w14:textId="77777777" w:rsidR="005E598F" w:rsidRPr="00103991" w:rsidRDefault="005E598F" w:rsidP="005E598F">
      <w:pPr>
        <w:spacing w:after="0"/>
        <w:ind w:left="360"/>
        <w:rPr>
          <w:sz w:val="16"/>
          <w:szCs w:val="16"/>
        </w:rPr>
      </w:pPr>
    </w:p>
    <w:p w14:paraId="22941BE4" w14:textId="77777777" w:rsidR="005E598F" w:rsidRPr="005E598F" w:rsidRDefault="005E598F" w:rsidP="005E598F">
      <w:pPr>
        <w:rPr>
          <w:lang w:val="en-US"/>
        </w:rPr>
      </w:pPr>
    </w:p>
    <w:p w14:paraId="43FB4E3A" w14:textId="49004FE2" w:rsidR="00553F98" w:rsidRDefault="00553F98" w:rsidP="000012D7">
      <w:pPr>
        <w:pStyle w:val="Heading1"/>
      </w:pPr>
      <w:bookmarkStart w:id="7" w:name="_Toc77952903"/>
      <w:r w:rsidRPr="00F65DE6">
        <w:t>Equipment</w:t>
      </w:r>
      <w:bookmarkEnd w:id="7"/>
    </w:p>
    <w:p w14:paraId="3FD8BC6E" w14:textId="77777777" w:rsidR="005E598F" w:rsidRDefault="005E598F" w:rsidP="005E598F">
      <w:pPr>
        <w:ind w:left="432"/>
        <w:rPr>
          <w:lang w:val="en-US"/>
        </w:rPr>
      </w:pPr>
      <w:proofErr w:type="spellStart"/>
      <w:r>
        <w:rPr>
          <w:lang w:val="en-US"/>
        </w:rPr>
        <w:t>Hemo</w:t>
      </w:r>
      <w:proofErr w:type="spellEnd"/>
      <w:r>
        <w:rPr>
          <w:lang w:val="en-US"/>
        </w:rPr>
        <w:t xml:space="preserve"> Control Hemoglobin </w:t>
      </w:r>
      <w:proofErr w:type="spellStart"/>
      <w:r>
        <w:rPr>
          <w:lang w:val="en-US"/>
        </w:rPr>
        <w:t>Microcuvettes</w:t>
      </w:r>
      <w:proofErr w:type="spellEnd"/>
      <w:r>
        <w:rPr>
          <w:lang w:val="en-US"/>
        </w:rPr>
        <w:t xml:space="preserve"> Catalogue number 3000-3012-0765</w:t>
      </w:r>
    </w:p>
    <w:p w14:paraId="78C1A34C" w14:textId="77777777" w:rsidR="005E598F" w:rsidRDefault="005E598F" w:rsidP="005E598F">
      <w:pPr>
        <w:ind w:left="432"/>
        <w:rPr>
          <w:lang w:val="en-US"/>
        </w:rPr>
      </w:pPr>
      <w:r>
        <w:rPr>
          <w:lang w:val="en-US"/>
        </w:rPr>
        <w:t xml:space="preserve">The cuvettes should be used before their expiry date, which is printed on each package. They should be stored at room temperature and </w:t>
      </w:r>
      <w:r>
        <w:rPr>
          <w:b/>
          <w:bCs/>
          <w:lang w:val="en-US"/>
        </w:rPr>
        <w:t xml:space="preserve">not </w:t>
      </w:r>
      <w:r>
        <w:rPr>
          <w:lang w:val="en-US"/>
        </w:rPr>
        <w:t xml:space="preserve">refrigerated. Once the seal on the package is broken the </w:t>
      </w:r>
      <w:proofErr w:type="spellStart"/>
      <w:r>
        <w:rPr>
          <w:lang w:val="en-US"/>
        </w:rPr>
        <w:t>microcuvettes</w:t>
      </w:r>
      <w:proofErr w:type="spellEnd"/>
      <w:r>
        <w:rPr>
          <w:lang w:val="en-US"/>
        </w:rPr>
        <w:t xml:space="preserve"> are stable for three months so </w:t>
      </w:r>
      <w:r>
        <w:rPr>
          <w:b/>
          <w:bCs/>
          <w:lang w:val="en-US"/>
        </w:rPr>
        <w:t>please date the container</w:t>
      </w:r>
      <w:r>
        <w:rPr>
          <w:lang w:val="en-US"/>
        </w:rPr>
        <w:t xml:space="preserve"> and ensure the container is kept closed when not in use.</w:t>
      </w:r>
    </w:p>
    <w:p w14:paraId="37A2848F" w14:textId="77777777" w:rsidR="005E598F" w:rsidRDefault="005E598F" w:rsidP="005E598F">
      <w:pPr>
        <w:ind w:left="432"/>
        <w:rPr>
          <w:lang w:val="en-US"/>
        </w:rPr>
      </w:pPr>
      <w:r>
        <w:rPr>
          <w:lang w:val="en-US"/>
        </w:rPr>
        <w:t>Control Solutions</w:t>
      </w:r>
    </w:p>
    <w:p w14:paraId="70C435CB" w14:textId="77777777" w:rsidR="005E598F" w:rsidRDefault="005E598F" w:rsidP="005E598F">
      <w:pPr>
        <w:ind w:left="432"/>
        <w:rPr>
          <w:lang w:val="en-US"/>
        </w:rPr>
      </w:pPr>
      <w:proofErr w:type="spellStart"/>
      <w:r>
        <w:rPr>
          <w:lang w:val="en-US"/>
        </w:rPr>
        <w:t>CueSee</w:t>
      </w:r>
      <w:proofErr w:type="spellEnd"/>
      <w:r>
        <w:rPr>
          <w:lang w:val="en-US"/>
        </w:rPr>
        <w:t xml:space="preserve"> </w:t>
      </w:r>
      <w:proofErr w:type="spellStart"/>
      <w:r>
        <w:rPr>
          <w:lang w:val="en-US"/>
        </w:rPr>
        <w:t>tHb</w:t>
      </w:r>
      <w:proofErr w:type="spellEnd"/>
      <w:r>
        <w:rPr>
          <w:lang w:val="en-US"/>
        </w:rPr>
        <w:t xml:space="preserve"> control Level 1 Catalogue number 253.001.002</w:t>
      </w:r>
    </w:p>
    <w:p w14:paraId="32509067" w14:textId="77777777" w:rsidR="005E598F" w:rsidRDefault="005E598F" w:rsidP="005E598F">
      <w:pPr>
        <w:ind w:left="432"/>
        <w:rPr>
          <w:lang w:val="en-US"/>
        </w:rPr>
      </w:pPr>
      <w:proofErr w:type="spellStart"/>
      <w:r>
        <w:rPr>
          <w:lang w:val="en-US"/>
        </w:rPr>
        <w:t>CueSee</w:t>
      </w:r>
      <w:proofErr w:type="spellEnd"/>
      <w:r>
        <w:rPr>
          <w:lang w:val="en-US"/>
        </w:rPr>
        <w:t xml:space="preserve"> </w:t>
      </w:r>
      <w:proofErr w:type="spellStart"/>
      <w:r>
        <w:rPr>
          <w:lang w:val="en-US"/>
        </w:rPr>
        <w:t>tHb</w:t>
      </w:r>
      <w:proofErr w:type="spellEnd"/>
      <w:r>
        <w:rPr>
          <w:lang w:val="en-US"/>
        </w:rPr>
        <w:t xml:space="preserve"> control Level 2 Catalogue number 253.002.002</w:t>
      </w:r>
    </w:p>
    <w:p w14:paraId="57C0895F" w14:textId="77777777" w:rsidR="005E598F" w:rsidRDefault="005E598F" w:rsidP="005E598F">
      <w:pPr>
        <w:ind w:left="432"/>
        <w:rPr>
          <w:lang w:val="en-US"/>
        </w:rPr>
      </w:pPr>
      <w:proofErr w:type="spellStart"/>
      <w:r>
        <w:rPr>
          <w:lang w:val="en-US"/>
        </w:rPr>
        <w:t>CueSee</w:t>
      </w:r>
      <w:proofErr w:type="spellEnd"/>
      <w:r>
        <w:rPr>
          <w:lang w:val="en-US"/>
        </w:rPr>
        <w:t xml:space="preserve"> </w:t>
      </w:r>
      <w:proofErr w:type="spellStart"/>
      <w:r>
        <w:rPr>
          <w:lang w:val="en-US"/>
        </w:rPr>
        <w:t>tHb</w:t>
      </w:r>
      <w:proofErr w:type="spellEnd"/>
      <w:r>
        <w:rPr>
          <w:lang w:val="en-US"/>
        </w:rPr>
        <w:t xml:space="preserve"> control Level 3 Catalogue number 253.003.002</w:t>
      </w:r>
    </w:p>
    <w:p w14:paraId="1062E612" w14:textId="77777777" w:rsidR="005E598F" w:rsidRDefault="005E598F" w:rsidP="005E598F">
      <w:pPr>
        <w:ind w:left="432"/>
        <w:rPr>
          <w:lang w:val="en-US"/>
        </w:rPr>
      </w:pPr>
    </w:p>
    <w:p w14:paraId="3D20EAE0" w14:textId="77777777" w:rsidR="005E598F" w:rsidRDefault="005E598F" w:rsidP="005E598F">
      <w:pPr>
        <w:ind w:firstLine="432"/>
        <w:rPr>
          <w:lang w:val="en-US"/>
        </w:rPr>
      </w:pPr>
      <w:r>
        <w:rPr>
          <w:lang w:val="en-US"/>
        </w:rPr>
        <w:t>The ranges are clearly stated on the packaging.</w:t>
      </w:r>
    </w:p>
    <w:p w14:paraId="32DF5EE7" w14:textId="77777777" w:rsidR="005E598F" w:rsidRDefault="005E598F" w:rsidP="005E598F">
      <w:pPr>
        <w:ind w:left="432"/>
        <w:rPr>
          <w:lang w:val="en-US"/>
        </w:rPr>
      </w:pPr>
      <w:r>
        <w:rPr>
          <w:lang w:val="en-US"/>
        </w:rPr>
        <w:t>The stock of controls should be stored 2-8 C stable until the expiry date printed on the vial. Open vials may be stored at room temperature for 30 days</w:t>
      </w:r>
    </w:p>
    <w:p w14:paraId="3E48A15B" w14:textId="77777777" w:rsidR="005E598F" w:rsidRPr="006C44C5" w:rsidRDefault="005E598F" w:rsidP="005E598F">
      <w:pPr>
        <w:rPr>
          <w:b/>
          <w:lang w:val="en-US"/>
        </w:rPr>
      </w:pPr>
      <w:r>
        <w:rPr>
          <w:lang w:val="en-US"/>
        </w:rPr>
        <w:tab/>
      </w:r>
    </w:p>
    <w:p w14:paraId="0362E6F2" w14:textId="77777777" w:rsidR="005E598F" w:rsidRPr="006C44C5" w:rsidRDefault="005E598F" w:rsidP="005E598F">
      <w:pPr>
        <w:ind w:left="432"/>
        <w:rPr>
          <w:b/>
          <w:u w:val="single"/>
          <w:lang w:val="en-US"/>
        </w:rPr>
      </w:pPr>
      <w:r w:rsidRPr="006C44C5">
        <w:rPr>
          <w:b/>
          <w:u w:val="single"/>
          <w:lang w:val="en-US"/>
        </w:rPr>
        <w:t xml:space="preserve">Supplies of cuvettes and Quality control material are ordered from The Point of </w:t>
      </w:r>
      <w:proofErr w:type="gramStart"/>
      <w:r w:rsidRPr="006C44C5">
        <w:rPr>
          <w:b/>
          <w:u w:val="single"/>
          <w:lang w:val="en-US"/>
        </w:rPr>
        <w:t xml:space="preserve">Care </w:t>
      </w:r>
      <w:r>
        <w:rPr>
          <w:b/>
          <w:u w:val="single"/>
          <w:lang w:val="en-US"/>
        </w:rPr>
        <w:t xml:space="preserve"> </w:t>
      </w:r>
      <w:r w:rsidRPr="006C44C5">
        <w:rPr>
          <w:b/>
          <w:u w:val="single"/>
          <w:lang w:val="en-US"/>
        </w:rPr>
        <w:t>Testing</w:t>
      </w:r>
      <w:proofErr w:type="gramEnd"/>
      <w:r w:rsidRPr="006C44C5">
        <w:rPr>
          <w:b/>
          <w:u w:val="single"/>
          <w:lang w:val="en-US"/>
        </w:rPr>
        <w:t xml:space="preserve"> team:</w:t>
      </w:r>
    </w:p>
    <w:p w14:paraId="04427EF3" w14:textId="77777777" w:rsidR="005E598F" w:rsidRDefault="005E598F" w:rsidP="005E598F">
      <w:pPr>
        <w:ind w:firstLine="432"/>
        <w:rPr>
          <w:lang w:val="en-US"/>
        </w:rPr>
      </w:pPr>
      <w:r>
        <w:rPr>
          <w:lang w:val="en-US"/>
        </w:rPr>
        <w:t>York: 772 5890</w:t>
      </w:r>
    </w:p>
    <w:p w14:paraId="060CEA20" w14:textId="77777777" w:rsidR="005E598F" w:rsidRDefault="005E598F" w:rsidP="005E598F">
      <w:pPr>
        <w:ind w:firstLine="432"/>
        <w:rPr>
          <w:lang w:val="en-US"/>
        </w:rPr>
      </w:pPr>
      <w:r>
        <w:rPr>
          <w:lang w:val="en-US"/>
        </w:rPr>
        <w:t>Scarborough: 771 2659</w:t>
      </w:r>
    </w:p>
    <w:p w14:paraId="387E89CB" w14:textId="77777777" w:rsidR="005E598F" w:rsidRDefault="005E598F" w:rsidP="005E598F">
      <w:pPr>
        <w:ind w:firstLine="432"/>
        <w:rPr>
          <w:lang w:val="en-US"/>
        </w:rPr>
      </w:pPr>
      <w:proofErr w:type="spellStart"/>
      <w:r>
        <w:rPr>
          <w:lang w:val="en-US"/>
        </w:rPr>
        <w:t>Bridlington</w:t>
      </w:r>
      <w:proofErr w:type="spellEnd"/>
      <w:r>
        <w:rPr>
          <w:lang w:val="en-US"/>
        </w:rPr>
        <w:t>: 771 3321</w:t>
      </w:r>
    </w:p>
    <w:p w14:paraId="6979051D" w14:textId="77777777" w:rsidR="005E598F" w:rsidRDefault="005E598F" w:rsidP="005E598F">
      <w:pPr>
        <w:ind w:firstLine="432"/>
        <w:rPr>
          <w:lang w:val="en-US"/>
        </w:rPr>
      </w:pPr>
    </w:p>
    <w:p w14:paraId="62C6179A" w14:textId="77777777" w:rsidR="005E598F" w:rsidRDefault="005E598F" w:rsidP="005E598F">
      <w:pPr>
        <w:ind w:left="432"/>
        <w:rPr>
          <w:lang w:val="en-US"/>
        </w:rPr>
      </w:pPr>
      <w:r>
        <w:rPr>
          <w:lang w:val="en-US"/>
        </w:rPr>
        <w:t xml:space="preserve">To clean the </w:t>
      </w:r>
      <w:proofErr w:type="spellStart"/>
      <w:r>
        <w:rPr>
          <w:lang w:val="en-US"/>
        </w:rPr>
        <w:t>analyser</w:t>
      </w:r>
      <w:proofErr w:type="spellEnd"/>
      <w:r>
        <w:rPr>
          <w:lang w:val="en-US"/>
        </w:rPr>
        <w:t xml:space="preserve">, pull the cuvette holder out to the loading position. Using a pointed instrument i.e. tip of a ballpoint pen; carefully depress the small indentation in the catch located in the top left corner of the cuvette holder. Whilst the catch is depressed gently pull the cuvette holder out of the body of the </w:t>
      </w:r>
      <w:proofErr w:type="spellStart"/>
      <w:r>
        <w:rPr>
          <w:lang w:val="en-US"/>
        </w:rPr>
        <w:t>analyser</w:t>
      </w:r>
      <w:proofErr w:type="spellEnd"/>
      <w:r>
        <w:rPr>
          <w:lang w:val="en-US"/>
        </w:rPr>
        <w:t xml:space="preserve"> .The holder can then be removed completely </w:t>
      </w:r>
      <w:r>
        <w:rPr>
          <w:lang w:val="en-US"/>
        </w:rPr>
        <w:lastRenderedPageBreak/>
        <w:t xml:space="preserve">and cleaned using an alcohol wipe or mild detergent. Please ensure the holder is dried thoroughly before replacing. </w:t>
      </w:r>
    </w:p>
    <w:p w14:paraId="648468A0" w14:textId="77777777" w:rsidR="005E598F" w:rsidRPr="00C9407D" w:rsidRDefault="005E598F" w:rsidP="00942E67">
      <w:pPr>
        <w:ind w:left="432"/>
        <w:rPr>
          <w:sz w:val="16"/>
          <w:szCs w:val="16"/>
        </w:rPr>
      </w:pPr>
      <w:r>
        <w:rPr>
          <w:lang w:val="en-US"/>
        </w:rPr>
        <w:t xml:space="preserve">If the optical unit needs cleaning please use the </w:t>
      </w:r>
      <w:proofErr w:type="spellStart"/>
      <w:r>
        <w:rPr>
          <w:lang w:val="en-US"/>
        </w:rPr>
        <w:t>Hemo</w:t>
      </w:r>
      <w:proofErr w:type="spellEnd"/>
      <w:r>
        <w:rPr>
          <w:lang w:val="en-US"/>
        </w:rPr>
        <w:t xml:space="preserve"> Control cleaner swab provided. Push in and pull out the swab from the optical unit. If the swab is stained repeat with a fresh swab until the swab comes out unstained. Wait 15 minutes for the optics to dry before replacing the cuvette holder.</w:t>
      </w:r>
    </w:p>
    <w:p w14:paraId="46AEC1BA" w14:textId="77777777" w:rsidR="005E598F" w:rsidRPr="007864DB" w:rsidRDefault="005E598F" w:rsidP="005E598F">
      <w:pPr>
        <w:ind w:firstLine="432"/>
        <w:rPr>
          <w:lang w:val="en-US"/>
        </w:rPr>
      </w:pPr>
      <w:r w:rsidRPr="007864DB">
        <w:rPr>
          <w:lang w:val="en-US"/>
        </w:rPr>
        <w:t>The oute</w:t>
      </w:r>
      <w:r>
        <w:rPr>
          <w:lang w:val="en-US"/>
        </w:rPr>
        <w:t xml:space="preserve">r surfaces of the </w:t>
      </w:r>
      <w:proofErr w:type="spellStart"/>
      <w:r>
        <w:rPr>
          <w:lang w:val="en-US"/>
        </w:rPr>
        <w:t>analyser</w:t>
      </w:r>
      <w:proofErr w:type="spellEnd"/>
      <w:r>
        <w:rPr>
          <w:lang w:val="en-US"/>
        </w:rPr>
        <w:t xml:space="preserve"> may be cleaned using a suitable disinfectant wipe.</w:t>
      </w:r>
    </w:p>
    <w:p w14:paraId="394AE339" w14:textId="77777777" w:rsidR="005E598F" w:rsidRDefault="005E598F" w:rsidP="005E598F">
      <w:pPr>
        <w:ind w:firstLine="432"/>
        <w:rPr>
          <w:lang w:val="en-US"/>
        </w:rPr>
      </w:pPr>
    </w:p>
    <w:p w14:paraId="08FBD5B5" w14:textId="77777777" w:rsidR="005E598F" w:rsidRPr="00812D9E" w:rsidRDefault="005E598F" w:rsidP="005E598F">
      <w:pPr>
        <w:ind w:left="432"/>
        <w:rPr>
          <w:lang w:val="en-US"/>
        </w:rPr>
      </w:pPr>
      <w:r>
        <w:rPr>
          <w:lang w:val="en-US"/>
        </w:rPr>
        <w:t>In the event of instrument breakdown please contact the Point of Care Office on the above numbers.</w:t>
      </w:r>
    </w:p>
    <w:p w14:paraId="4042259E" w14:textId="77777777" w:rsidR="005E598F" w:rsidRDefault="005E598F" w:rsidP="005E598F">
      <w:pPr>
        <w:ind w:firstLine="432"/>
        <w:rPr>
          <w:lang w:val="en-US"/>
        </w:rPr>
      </w:pPr>
    </w:p>
    <w:p w14:paraId="44AA0653" w14:textId="77777777" w:rsidR="005E598F" w:rsidRDefault="005E598F" w:rsidP="005E598F">
      <w:pPr>
        <w:ind w:firstLine="432"/>
        <w:rPr>
          <w:lang w:val="en-US"/>
        </w:rPr>
      </w:pPr>
    </w:p>
    <w:p w14:paraId="49C17585" w14:textId="77777777" w:rsidR="005E598F" w:rsidRDefault="005E598F" w:rsidP="005E598F">
      <w:pPr>
        <w:ind w:firstLine="432"/>
        <w:rPr>
          <w:lang w:val="en-US"/>
        </w:rPr>
      </w:pPr>
    </w:p>
    <w:p w14:paraId="1DC64137" w14:textId="77777777" w:rsidR="005E598F" w:rsidRPr="006C44C5" w:rsidRDefault="005E598F" w:rsidP="005E598F">
      <w:pPr>
        <w:ind w:firstLine="432"/>
        <w:rPr>
          <w:b/>
          <w:lang w:val="en-US"/>
        </w:rPr>
      </w:pPr>
      <w:r w:rsidRPr="006C44C5">
        <w:rPr>
          <w:b/>
          <w:lang w:val="en-US"/>
        </w:rPr>
        <w:t>Company Details</w:t>
      </w:r>
    </w:p>
    <w:p w14:paraId="59C0A2E9" w14:textId="77777777" w:rsidR="005E598F" w:rsidRDefault="005E598F" w:rsidP="005E598F">
      <w:pPr>
        <w:ind w:firstLine="432"/>
        <w:rPr>
          <w:lang w:val="en-US"/>
        </w:rPr>
      </w:pPr>
      <w:r>
        <w:rPr>
          <w:lang w:val="en-US"/>
        </w:rPr>
        <w:t>Prospect Diagnostics Limited</w:t>
      </w:r>
    </w:p>
    <w:p w14:paraId="4E36ACDF" w14:textId="77777777" w:rsidR="005E598F" w:rsidRDefault="005E598F" w:rsidP="005E598F">
      <w:pPr>
        <w:ind w:firstLine="432"/>
        <w:rPr>
          <w:lang w:val="en-US"/>
        </w:rPr>
      </w:pPr>
      <w:r>
        <w:rPr>
          <w:lang w:val="en-US"/>
        </w:rPr>
        <w:t>Viking court</w:t>
      </w:r>
    </w:p>
    <w:p w14:paraId="2292B3E4" w14:textId="77777777" w:rsidR="005E598F" w:rsidRDefault="005E598F" w:rsidP="005E598F">
      <w:pPr>
        <w:ind w:firstLine="432"/>
        <w:rPr>
          <w:lang w:val="en-US"/>
        </w:rPr>
      </w:pPr>
      <w:r>
        <w:rPr>
          <w:lang w:val="en-US"/>
        </w:rPr>
        <w:t>31 Princess Road</w:t>
      </w:r>
    </w:p>
    <w:p w14:paraId="710BF33D" w14:textId="77777777" w:rsidR="005E598F" w:rsidRDefault="005E598F" w:rsidP="005E598F">
      <w:pPr>
        <w:ind w:firstLine="432"/>
        <w:rPr>
          <w:lang w:val="en-US"/>
        </w:rPr>
      </w:pPr>
      <w:proofErr w:type="spellStart"/>
      <w:r>
        <w:rPr>
          <w:lang w:val="en-US"/>
        </w:rPr>
        <w:t>Dromfield</w:t>
      </w:r>
      <w:proofErr w:type="spellEnd"/>
    </w:p>
    <w:p w14:paraId="727F5AF3" w14:textId="77777777" w:rsidR="005E598F" w:rsidRDefault="005E598F" w:rsidP="005E598F">
      <w:pPr>
        <w:ind w:firstLine="432"/>
        <w:rPr>
          <w:caps/>
          <w:lang w:val="en-US"/>
        </w:rPr>
      </w:pPr>
      <w:r>
        <w:rPr>
          <w:caps/>
          <w:lang w:val="en-US"/>
        </w:rPr>
        <w:t>Derbyshire</w:t>
      </w:r>
    </w:p>
    <w:p w14:paraId="1AD11CC8" w14:textId="77777777" w:rsidR="005E598F" w:rsidRDefault="005E598F" w:rsidP="005E598F">
      <w:pPr>
        <w:ind w:firstLine="432"/>
        <w:rPr>
          <w:lang w:val="en-US"/>
        </w:rPr>
      </w:pPr>
      <w:r>
        <w:rPr>
          <w:lang w:val="en-US"/>
        </w:rPr>
        <w:t>S18 2LX                         Tel 01246 292955</w:t>
      </w:r>
    </w:p>
    <w:p w14:paraId="6349EBE9" w14:textId="77777777" w:rsidR="005E598F" w:rsidRDefault="005E598F" w:rsidP="005E598F">
      <w:pPr>
        <w:ind w:left="432"/>
        <w:rPr>
          <w:lang w:val="en-US"/>
        </w:rPr>
      </w:pPr>
    </w:p>
    <w:p w14:paraId="2C0572BC" w14:textId="77777777" w:rsidR="005E598F" w:rsidRPr="005E598F" w:rsidRDefault="005E598F" w:rsidP="005E598F">
      <w:pPr>
        <w:ind w:left="432"/>
        <w:rPr>
          <w:lang w:val="en-US"/>
        </w:rPr>
      </w:pPr>
    </w:p>
    <w:p w14:paraId="3EE0E244" w14:textId="3F6F7044" w:rsidR="000E7FDF" w:rsidRDefault="000E7FDF" w:rsidP="000012D7">
      <w:pPr>
        <w:pStyle w:val="Heading1"/>
      </w:pPr>
      <w:bookmarkStart w:id="8" w:name="_Toc77952904"/>
      <w:bookmarkStart w:id="9" w:name="_Toc213598300"/>
      <w:bookmarkStart w:id="10" w:name="_Toc213598526"/>
      <w:bookmarkEnd w:id="5"/>
      <w:bookmarkEnd w:id="6"/>
      <w:r w:rsidRPr="00F65DE6">
        <w:t xml:space="preserve">Personnel </w:t>
      </w:r>
      <w:proofErr w:type="spellStart"/>
      <w:r w:rsidRPr="00F65DE6">
        <w:t>Authorised</w:t>
      </w:r>
      <w:proofErr w:type="spellEnd"/>
      <w:r w:rsidRPr="00F65DE6">
        <w:t xml:space="preserve"> to Perform Procedure</w:t>
      </w:r>
      <w:bookmarkEnd w:id="8"/>
    </w:p>
    <w:p w14:paraId="4B9A8A1F" w14:textId="77777777" w:rsidR="007D4101" w:rsidRPr="006C44C5" w:rsidRDefault="007D4101" w:rsidP="007D4101">
      <w:pPr>
        <w:ind w:left="432"/>
        <w:rPr>
          <w:lang w:val="en-US"/>
        </w:rPr>
      </w:pPr>
      <w:r>
        <w:rPr>
          <w:lang w:val="en-US"/>
        </w:rPr>
        <w:t xml:space="preserve">These procedures should only be carried out by staff </w:t>
      </w:r>
      <w:proofErr w:type="gramStart"/>
      <w:r>
        <w:rPr>
          <w:lang w:val="en-US"/>
        </w:rPr>
        <w:t>who</w:t>
      </w:r>
      <w:proofErr w:type="gramEnd"/>
      <w:r>
        <w:rPr>
          <w:lang w:val="en-US"/>
        </w:rPr>
        <w:t xml:space="preserve"> have been trained and deemed competent as per PC-TEM-TSHEMOCON</w:t>
      </w:r>
    </w:p>
    <w:p w14:paraId="3132B54C" w14:textId="77777777" w:rsidR="007D4101" w:rsidRPr="007D4101" w:rsidRDefault="007D4101" w:rsidP="007D4101">
      <w:pPr>
        <w:ind w:left="432"/>
        <w:rPr>
          <w:lang w:val="en-US"/>
        </w:rPr>
      </w:pPr>
    </w:p>
    <w:p w14:paraId="057EC095" w14:textId="2B3CAA90" w:rsidR="00667A8E" w:rsidRDefault="00667A8E" w:rsidP="000012D7">
      <w:pPr>
        <w:pStyle w:val="Heading1"/>
      </w:pPr>
      <w:bookmarkStart w:id="11" w:name="_Toc213598299"/>
      <w:bookmarkStart w:id="12" w:name="_Toc213598525"/>
      <w:bookmarkStart w:id="13" w:name="_Toc77952905"/>
      <w:bookmarkStart w:id="14" w:name="_Toc213598302"/>
      <w:bookmarkStart w:id="15" w:name="_Toc213598528"/>
      <w:bookmarkEnd w:id="9"/>
      <w:bookmarkEnd w:id="10"/>
      <w:r w:rsidRPr="00F65DE6">
        <w:t>Sample Requirements</w:t>
      </w:r>
      <w:bookmarkEnd w:id="11"/>
      <w:bookmarkEnd w:id="12"/>
      <w:r w:rsidR="000012D7">
        <w:t xml:space="preserve"> (including </w:t>
      </w:r>
      <w:r w:rsidR="000012D7" w:rsidRPr="00F65DE6">
        <w:t>COSHH Risk Assessment</w:t>
      </w:r>
      <w:r w:rsidR="000012D7">
        <w:t xml:space="preserve"> &amp; First Aid)</w:t>
      </w:r>
      <w:bookmarkEnd w:id="13"/>
    </w:p>
    <w:p w14:paraId="4A6F3B98" w14:textId="77777777" w:rsidR="007D4101" w:rsidRDefault="007D4101" w:rsidP="007D4101">
      <w:pPr>
        <w:ind w:firstLine="432"/>
        <w:rPr>
          <w:lang w:val="en-US"/>
        </w:rPr>
      </w:pPr>
      <w:r>
        <w:rPr>
          <w:lang w:val="en-US"/>
        </w:rPr>
        <w:t xml:space="preserve">Capillary, venous or arterial blood may be used and the cuvettes need 10ul of sample. </w:t>
      </w:r>
    </w:p>
    <w:p w14:paraId="284E1EF8" w14:textId="77777777" w:rsidR="007D4101" w:rsidRDefault="007D4101" w:rsidP="007D4101">
      <w:pPr>
        <w:ind w:firstLine="432"/>
        <w:rPr>
          <w:lang w:val="en-US"/>
        </w:rPr>
      </w:pPr>
      <w:r>
        <w:rPr>
          <w:lang w:val="en-US"/>
        </w:rPr>
        <w:t xml:space="preserve">Appropriate anticoagulants in solid form may be used e.g. EDTA. </w:t>
      </w:r>
    </w:p>
    <w:p w14:paraId="5806E762" w14:textId="77777777" w:rsidR="007D4101" w:rsidRDefault="007D4101" w:rsidP="007D4101">
      <w:pPr>
        <w:ind w:left="432"/>
        <w:rPr>
          <w:lang w:val="en-US"/>
        </w:rPr>
      </w:pPr>
      <w:r>
        <w:rPr>
          <w:lang w:val="en-US"/>
        </w:rPr>
        <w:t xml:space="preserve">If the blood sample has been stored in a fridge the sample must be allowed to return to room temperature before analysis. </w:t>
      </w:r>
    </w:p>
    <w:p w14:paraId="1BE78BE5" w14:textId="77777777" w:rsidR="007D4101" w:rsidRDefault="007D4101" w:rsidP="007D4101">
      <w:pPr>
        <w:ind w:left="432"/>
        <w:rPr>
          <w:lang w:val="en-US"/>
        </w:rPr>
      </w:pPr>
      <w:proofErr w:type="spellStart"/>
      <w:r>
        <w:rPr>
          <w:lang w:val="en-US"/>
        </w:rPr>
        <w:t>Haemoglobin</w:t>
      </w:r>
      <w:proofErr w:type="spellEnd"/>
      <w:r>
        <w:rPr>
          <w:lang w:val="en-US"/>
        </w:rPr>
        <w:t xml:space="preserve"> levels in samples remains unchanged for days. All stored samples should be mixed on a mechanical mixer for at least two minutes prior to analysis</w:t>
      </w:r>
    </w:p>
    <w:p w14:paraId="51681FBE" w14:textId="77777777" w:rsidR="007D4101" w:rsidRPr="007D4101" w:rsidRDefault="007D4101" w:rsidP="007D4101">
      <w:pPr>
        <w:ind w:left="432"/>
        <w:rPr>
          <w:lang w:val="en-US"/>
        </w:rPr>
      </w:pPr>
    </w:p>
    <w:p w14:paraId="0AC45468" w14:textId="77777777" w:rsidR="0017384E" w:rsidRPr="001118C5" w:rsidRDefault="0017384E" w:rsidP="0017384E">
      <w:pPr>
        <w:numPr>
          <w:ilvl w:val="0"/>
          <w:numId w:val="28"/>
        </w:numPr>
        <w:spacing w:before="120" w:after="60"/>
        <w:rPr>
          <w:rFonts w:cs="Arial"/>
          <w:szCs w:val="22"/>
        </w:rPr>
      </w:pPr>
      <w:r w:rsidRPr="001118C5">
        <w:rPr>
          <w:rFonts w:cs="Arial"/>
          <w:szCs w:val="22"/>
        </w:rPr>
        <w:t>All human blood samples must be treated as potentially BIO-HAZARDOUS.</w:t>
      </w:r>
    </w:p>
    <w:p w14:paraId="28E6C70A" w14:textId="77777777" w:rsidR="0017384E" w:rsidRDefault="0017384E" w:rsidP="0017384E">
      <w:pPr>
        <w:numPr>
          <w:ilvl w:val="0"/>
          <w:numId w:val="28"/>
        </w:numPr>
        <w:spacing w:before="120" w:after="60"/>
        <w:rPr>
          <w:rFonts w:cs="Arial"/>
          <w:szCs w:val="22"/>
        </w:rPr>
      </w:pPr>
      <w:r w:rsidRPr="001118C5">
        <w:rPr>
          <w:rFonts w:cs="Arial"/>
          <w:szCs w:val="22"/>
        </w:rPr>
        <w:lastRenderedPageBreak/>
        <w:t>Approved Personal Protective Equipment (PPE) including lab coats, gloves and eye-protection must be worn when handling open blood samples or derivatives thereof.</w:t>
      </w:r>
    </w:p>
    <w:p w14:paraId="386E9962" w14:textId="77777777" w:rsidR="0017384E" w:rsidRPr="001118C5" w:rsidRDefault="0017384E" w:rsidP="0017384E">
      <w:pPr>
        <w:spacing w:after="0"/>
        <w:ind w:left="448"/>
        <w:rPr>
          <w:rFonts w:cs="Arial"/>
          <w:szCs w:val="22"/>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875"/>
      </w:tblGrid>
      <w:tr w:rsidR="0017384E" w:rsidRPr="001118C5" w14:paraId="04B266E0" w14:textId="77777777" w:rsidTr="0017384E">
        <w:tc>
          <w:tcPr>
            <w:tcW w:w="1308" w:type="dxa"/>
            <w:shd w:val="clear" w:color="auto" w:fill="auto"/>
          </w:tcPr>
          <w:p w14:paraId="05FF1AC6" w14:textId="77777777" w:rsidR="0017384E" w:rsidRPr="001118C5" w:rsidRDefault="0017384E" w:rsidP="0017384E">
            <w:pPr>
              <w:rPr>
                <w:rFonts w:cs="Arial"/>
                <w:szCs w:val="22"/>
              </w:rPr>
            </w:pPr>
          </w:p>
          <w:p w14:paraId="26B2CD10" w14:textId="77777777" w:rsidR="0017384E" w:rsidRPr="001118C5" w:rsidRDefault="00D257AA" w:rsidP="0017384E">
            <w:pPr>
              <w:rPr>
                <w:rFonts w:cs="Arial"/>
                <w:szCs w:val="22"/>
              </w:rPr>
            </w:pPr>
            <w:r>
              <w:rPr>
                <w:rFonts w:cs="Arial"/>
                <w:noProof/>
                <w:szCs w:val="22"/>
                <w:lang w:eastAsia="en-GB"/>
              </w:rPr>
              <w:drawing>
                <wp:inline distT="0" distB="0" distL="0" distR="0" wp14:anchorId="602E2B32" wp14:editId="663C0BDE">
                  <wp:extent cx="510540" cy="492760"/>
                  <wp:effectExtent l="19050" t="19050" r="22860" b="2159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492760"/>
                          </a:xfrm>
                          <a:prstGeom prst="rect">
                            <a:avLst/>
                          </a:prstGeom>
                          <a:noFill/>
                          <a:ln w="9525" cmpd="sng">
                            <a:solidFill>
                              <a:srgbClr val="000000"/>
                            </a:solidFill>
                            <a:miter lim="800000"/>
                            <a:headEnd/>
                            <a:tailEnd/>
                          </a:ln>
                          <a:effectLst/>
                        </pic:spPr>
                      </pic:pic>
                    </a:graphicData>
                  </a:graphic>
                </wp:inline>
              </w:drawing>
            </w:r>
          </w:p>
        </w:tc>
        <w:tc>
          <w:tcPr>
            <w:tcW w:w="7875" w:type="dxa"/>
            <w:shd w:val="clear" w:color="auto" w:fill="auto"/>
          </w:tcPr>
          <w:p w14:paraId="34719BF4" w14:textId="77777777" w:rsidR="0017384E" w:rsidRPr="001118C5" w:rsidRDefault="0017384E" w:rsidP="0017384E">
            <w:pPr>
              <w:rPr>
                <w:rFonts w:cs="Arial"/>
                <w:szCs w:val="22"/>
              </w:rPr>
            </w:pPr>
          </w:p>
          <w:p w14:paraId="0578C1E0" w14:textId="77777777" w:rsidR="0017384E" w:rsidRPr="001118C5" w:rsidRDefault="0017384E" w:rsidP="0017384E">
            <w:pPr>
              <w:ind w:left="183"/>
              <w:rPr>
                <w:rFonts w:cs="Arial"/>
                <w:szCs w:val="22"/>
              </w:rPr>
            </w:pPr>
            <w:r w:rsidRPr="001118C5">
              <w:rPr>
                <w:rFonts w:cs="Arial"/>
                <w:szCs w:val="22"/>
              </w:rPr>
              <w:t>When performed according to the protocol detailed in this SOP, and in conjunction with adherence to Trust Policies and Good Laboratory Practice, the handling of patient samples represents minimal risk to staff.</w:t>
            </w:r>
          </w:p>
        </w:tc>
      </w:tr>
    </w:tbl>
    <w:p w14:paraId="4B215134" w14:textId="77777777" w:rsidR="0017384E" w:rsidRPr="001118C5" w:rsidRDefault="0017384E" w:rsidP="0017384E">
      <w:pPr>
        <w:spacing w:before="120"/>
        <w:ind w:left="448"/>
        <w:rPr>
          <w:rFonts w:cs="Arial"/>
          <w:szCs w:val="22"/>
          <w:u w:val="single"/>
        </w:rPr>
      </w:pPr>
      <w:r w:rsidRPr="001118C5">
        <w:rPr>
          <w:rFonts w:cs="Arial"/>
          <w:szCs w:val="22"/>
          <w:u w:val="single"/>
        </w:rPr>
        <w:t>Exposure to Bio-Hazardous Material</w:t>
      </w:r>
    </w:p>
    <w:p w14:paraId="583509B6" w14:textId="77777777" w:rsidR="0017384E" w:rsidRPr="001118C5" w:rsidRDefault="0017384E" w:rsidP="0017384E">
      <w:pPr>
        <w:ind w:left="448"/>
        <w:rPr>
          <w:rFonts w:cs="Arial"/>
          <w:szCs w:val="22"/>
        </w:rPr>
      </w:pPr>
      <w:r w:rsidRPr="001118C5">
        <w:rPr>
          <w:rFonts w:cs="Arial"/>
          <w:szCs w:val="22"/>
        </w:rPr>
        <w:t>In the event of a needle stick injury or accidental blood splashes to eyes or mouth:</w:t>
      </w:r>
    </w:p>
    <w:p w14:paraId="05C27272" w14:textId="77777777" w:rsidR="0017384E" w:rsidRPr="001118C5" w:rsidRDefault="0017384E" w:rsidP="0017384E">
      <w:pPr>
        <w:numPr>
          <w:ilvl w:val="0"/>
          <w:numId w:val="29"/>
        </w:numPr>
        <w:rPr>
          <w:rFonts w:cs="Arial"/>
          <w:color w:val="FF0000"/>
          <w:szCs w:val="22"/>
        </w:rPr>
      </w:pPr>
      <w:r w:rsidRPr="001118C5">
        <w:rPr>
          <w:rFonts w:cs="Arial"/>
          <w:color w:val="FF0000"/>
          <w:szCs w:val="22"/>
        </w:rPr>
        <w:t>If skin has been punctured encourage bleeding by gently squeezing.  Wash with soap and running warm water then dry and dress the wound.</w:t>
      </w:r>
    </w:p>
    <w:p w14:paraId="0FAD4566" w14:textId="77777777" w:rsidR="0017384E" w:rsidRPr="001118C5" w:rsidRDefault="0017384E" w:rsidP="0017384E">
      <w:pPr>
        <w:numPr>
          <w:ilvl w:val="0"/>
          <w:numId w:val="29"/>
        </w:numPr>
        <w:rPr>
          <w:rFonts w:cs="Arial"/>
          <w:color w:val="FF0000"/>
          <w:szCs w:val="22"/>
        </w:rPr>
      </w:pPr>
      <w:r w:rsidRPr="001118C5">
        <w:rPr>
          <w:rFonts w:cs="Arial"/>
          <w:color w:val="FF0000"/>
          <w:szCs w:val="22"/>
        </w:rPr>
        <w:t>Splashes to the eyes: irrigate eyes thoroughly with eye wash / saline</w:t>
      </w:r>
    </w:p>
    <w:p w14:paraId="054C268F" w14:textId="77777777" w:rsidR="0017384E" w:rsidRPr="001118C5" w:rsidRDefault="0017384E" w:rsidP="0017384E">
      <w:pPr>
        <w:numPr>
          <w:ilvl w:val="0"/>
          <w:numId w:val="29"/>
        </w:numPr>
        <w:rPr>
          <w:rFonts w:cs="Arial"/>
          <w:color w:val="FF0000"/>
          <w:szCs w:val="22"/>
        </w:rPr>
      </w:pPr>
      <w:r w:rsidRPr="001118C5">
        <w:rPr>
          <w:rFonts w:cs="Arial"/>
          <w:color w:val="FF0000"/>
          <w:szCs w:val="22"/>
        </w:rPr>
        <w:t>Splashes to the mouth: gargle with drinking water (avoid swallowing)</w:t>
      </w:r>
    </w:p>
    <w:p w14:paraId="557000E2" w14:textId="77777777" w:rsidR="0017384E" w:rsidRDefault="0017384E" w:rsidP="0017384E">
      <w:pPr>
        <w:ind w:left="448"/>
        <w:rPr>
          <w:rFonts w:cs="Arial"/>
          <w:szCs w:val="22"/>
        </w:rPr>
      </w:pPr>
      <w:r w:rsidRPr="001118C5">
        <w:rPr>
          <w:rFonts w:cs="Arial"/>
          <w:szCs w:val="22"/>
        </w:rPr>
        <w:t>Contact the Occupational Health Department / Emergency Department for guidance and report all adverse incidents to your li</w:t>
      </w:r>
      <w:r w:rsidR="00B45B38">
        <w:rPr>
          <w:rFonts w:cs="Arial"/>
          <w:szCs w:val="22"/>
        </w:rPr>
        <w:t>ne manager / complete a DATIX</w:t>
      </w:r>
      <w:r w:rsidRPr="001118C5">
        <w:rPr>
          <w:rFonts w:cs="Arial"/>
          <w:szCs w:val="22"/>
        </w:rPr>
        <w:t xml:space="preserve"> form.</w:t>
      </w:r>
    </w:p>
    <w:p w14:paraId="44DEBC23" w14:textId="77777777" w:rsidR="00794B26" w:rsidRPr="00706B97" w:rsidRDefault="00794B26" w:rsidP="00A06FCA">
      <w:pPr>
        <w:spacing w:before="120"/>
        <w:ind w:left="448"/>
        <w:rPr>
          <w:u w:val="single"/>
        </w:rPr>
      </w:pPr>
      <w:r w:rsidRPr="00706B97">
        <w:rPr>
          <w:u w:val="single"/>
        </w:rPr>
        <w:t>Disposal</w:t>
      </w:r>
      <w:r w:rsidR="00950E61" w:rsidRPr="00706B97">
        <w:rPr>
          <w:u w:val="single"/>
        </w:rPr>
        <w:t xml:space="preserve"> of </w:t>
      </w:r>
      <w:r w:rsidR="0092129A" w:rsidRPr="00706B97">
        <w:rPr>
          <w:u w:val="single"/>
        </w:rPr>
        <w:t xml:space="preserve">Patient </w:t>
      </w:r>
      <w:r w:rsidR="00950E61" w:rsidRPr="00706B97">
        <w:rPr>
          <w:u w:val="single"/>
        </w:rPr>
        <w:t>Samples</w:t>
      </w:r>
    </w:p>
    <w:p w14:paraId="2FE462FB" w14:textId="11336D4F" w:rsidR="00C24C4A" w:rsidRDefault="007D4101" w:rsidP="00A06FCA">
      <w:pPr>
        <w:ind w:left="448"/>
      </w:pPr>
      <w:r>
        <w:t>Sample is disposed of in the cuvette post analysis in to a sharps bin</w:t>
      </w:r>
    </w:p>
    <w:p w14:paraId="67B60FF9" w14:textId="35E6C6F1" w:rsidR="000012D7" w:rsidRDefault="000D3F46" w:rsidP="000012D7">
      <w:pPr>
        <w:pStyle w:val="Heading1"/>
      </w:pPr>
      <w:bookmarkStart w:id="16" w:name="_Toc77952906"/>
      <w:r w:rsidRPr="000012D7">
        <w:t>Chemicals</w:t>
      </w:r>
      <w:r w:rsidR="008755D2" w:rsidRPr="000012D7">
        <w:t xml:space="preserve"> </w:t>
      </w:r>
      <w:bookmarkEnd w:id="14"/>
      <w:bookmarkEnd w:id="15"/>
      <w:r w:rsidR="000012D7" w:rsidRPr="000012D7">
        <w:t>(including COSHH Risk Assessment &amp; First Aid)</w:t>
      </w:r>
      <w:bookmarkEnd w:id="16"/>
    </w:p>
    <w:p w14:paraId="0346A24D" w14:textId="77777777" w:rsidR="007D4101" w:rsidRDefault="007D4101" w:rsidP="007D4101">
      <w:pPr>
        <w:ind w:firstLine="360"/>
      </w:pPr>
      <w:r>
        <w:t>The manufacturer indicates no particular hazard involved with use of the reagents.</w:t>
      </w:r>
    </w:p>
    <w:p w14:paraId="47CD253C" w14:textId="77777777" w:rsidR="007D4101" w:rsidRDefault="007D4101" w:rsidP="007D4101">
      <w:pPr>
        <w:ind w:left="360"/>
      </w:pPr>
      <w:r>
        <w:t xml:space="preserve">Attention is, however, drawn to the fact that the reagents have not been fully examined and may be </w:t>
      </w:r>
      <w:proofErr w:type="gramStart"/>
      <w:r>
        <w:t>irritant</w:t>
      </w:r>
      <w:proofErr w:type="gramEnd"/>
      <w:r>
        <w:t>. Serum/ blood samples may constitute a biohazard. Please take usual precautions; i.e. wear gloves and employ routine hygiene techniques</w:t>
      </w:r>
    </w:p>
    <w:p w14:paraId="716AD37B" w14:textId="77777777" w:rsidR="007D4101" w:rsidRPr="007D4101" w:rsidRDefault="007D4101" w:rsidP="007D4101">
      <w:pPr>
        <w:ind w:left="432"/>
        <w:rPr>
          <w:lang w:val="en-US"/>
        </w:rPr>
      </w:pPr>
    </w:p>
    <w:p w14:paraId="7355A137" w14:textId="77777777" w:rsidR="00942E67" w:rsidRDefault="00351220" w:rsidP="00942E67">
      <w:pPr>
        <w:rPr>
          <w:rFonts w:cs="Arial"/>
          <w:szCs w:val="22"/>
        </w:rPr>
      </w:pPr>
      <w:r w:rsidRPr="001118C5">
        <w:rPr>
          <w:rFonts w:cs="Arial"/>
          <w:b/>
          <w:bCs/>
          <w:szCs w:val="22"/>
        </w:rPr>
        <w:t xml:space="preserve">GENERAL FIRST AID                                                                        </w:t>
      </w:r>
      <w:r w:rsidRPr="001118C5">
        <w:rPr>
          <w:rFonts w:cs="Arial"/>
          <w:szCs w:val="22"/>
        </w:rPr>
        <w:object w:dxaOrig="1645" w:dyaOrig="1645" w14:anchorId="6F86E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8.75pt" o:ole="" fillcolor="window">
            <v:imagedata r:id="rId11" o:title=""/>
          </v:shape>
          <o:OLEObject Type="Embed" ProgID="MS_ClipArt_Gallery" ShapeID="_x0000_i1025" DrawAspect="Content" ObjectID="_1694589925" r:id="rId12"/>
        </w:object>
      </w:r>
      <w:r w:rsidRPr="001118C5">
        <w:rPr>
          <w:rFonts w:cs="Arial"/>
          <w:szCs w:val="22"/>
        </w:rPr>
        <w:t xml:space="preserve">                                                                  </w:t>
      </w:r>
    </w:p>
    <w:p w14:paraId="67C052FA" w14:textId="37169D36" w:rsidR="00351220" w:rsidRPr="00942E67" w:rsidRDefault="00351220" w:rsidP="00942E67">
      <w:pPr>
        <w:rPr>
          <w:rFonts w:cs="Arial"/>
          <w:szCs w:val="22"/>
        </w:rPr>
      </w:pPr>
      <w:r w:rsidRPr="001118C5">
        <w:rPr>
          <w:rFonts w:cs="Arial"/>
        </w:rPr>
        <w:t>The following first aid guidelines may be applied to all the substances detailed in this SOP.</w:t>
      </w:r>
    </w:p>
    <w:p w14:paraId="583C3F86" w14:textId="77777777" w:rsidR="00351220" w:rsidRPr="001118C5" w:rsidRDefault="00351220" w:rsidP="00351220">
      <w:pPr>
        <w:rPr>
          <w:rFonts w:cs="Arial"/>
          <w:szCs w:val="22"/>
        </w:rPr>
      </w:pPr>
      <w:r w:rsidRPr="001118C5">
        <w:rPr>
          <w:rFonts w:cs="Arial"/>
          <w:szCs w:val="22"/>
        </w:rPr>
        <w:t>Eyes: Irrigate thoroughly with water. At least 10 minutes is the recommended duration. Sterile saline is also available at the eye wash stations.</w:t>
      </w:r>
    </w:p>
    <w:p w14:paraId="1A5DD771" w14:textId="77777777" w:rsidR="00351220" w:rsidRPr="001118C5" w:rsidRDefault="00351220" w:rsidP="00351220">
      <w:pPr>
        <w:rPr>
          <w:rFonts w:cs="Arial"/>
          <w:szCs w:val="22"/>
        </w:rPr>
      </w:pPr>
      <w:r w:rsidRPr="001118C5">
        <w:rPr>
          <w:rFonts w:cs="Arial"/>
          <w:szCs w:val="22"/>
        </w:rPr>
        <w:t>Lungs: Remove from exposure, rest and keep warm.</w:t>
      </w:r>
    </w:p>
    <w:p w14:paraId="1D1EC2C6" w14:textId="77777777" w:rsidR="00351220" w:rsidRPr="001118C5" w:rsidRDefault="00351220" w:rsidP="00351220">
      <w:pPr>
        <w:rPr>
          <w:rFonts w:cs="Arial"/>
          <w:szCs w:val="22"/>
        </w:rPr>
      </w:pPr>
      <w:r w:rsidRPr="001118C5">
        <w:rPr>
          <w:rFonts w:cs="Arial"/>
          <w:szCs w:val="22"/>
        </w:rPr>
        <w:t>Skin: Wash substance off skin thoroughly with water. Remove contaminated clothing and wash before re-use.</w:t>
      </w:r>
    </w:p>
    <w:p w14:paraId="4022ECAA" w14:textId="77777777" w:rsidR="00351220" w:rsidRPr="001118C5" w:rsidRDefault="00351220" w:rsidP="00351220">
      <w:pPr>
        <w:rPr>
          <w:rFonts w:cs="Arial"/>
          <w:szCs w:val="22"/>
        </w:rPr>
      </w:pPr>
      <w:r w:rsidRPr="001118C5">
        <w:rPr>
          <w:rFonts w:cs="Arial"/>
          <w:szCs w:val="22"/>
        </w:rPr>
        <w:t>Mouth: Wash out mouth thoroughly with water and give plenty of water to drink.</w:t>
      </w:r>
    </w:p>
    <w:p w14:paraId="16DDFB38" w14:textId="77777777" w:rsidR="00351220" w:rsidRDefault="00351220" w:rsidP="00351220">
      <w:pPr>
        <w:pStyle w:val="BodyText"/>
        <w:rPr>
          <w:rFonts w:cs="Arial"/>
          <w:szCs w:val="22"/>
        </w:rPr>
      </w:pPr>
      <w:r w:rsidRPr="001118C5">
        <w:rPr>
          <w:rFonts w:cs="Arial"/>
          <w:szCs w:val="22"/>
        </w:rPr>
        <w:t>Remember – If at all concerned about the nature or severity of the problem, SEEK MEDICAL ADVICE.</w:t>
      </w:r>
    </w:p>
    <w:p w14:paraId="5CFB556E" w14:textId="07C96432" w:rsidR="003F6285" w:rsidRDefault="003F6285" w:rsidP="000012D7">
      <w:pPr>
        <w:pStyle w:val="Heading1"/>
      </w:pPr>
      <w:bookmarkStart w:id="17" w:name="_Toc77952907"/>
      <w:r w:rsidRPr="002C0BC8">
        <w:lastRenderedPageBreak/>
        <w:t>Reagents</w:t>
      </w:r>
      <w:bookmarkEnd w:id="17"/>
    </w:p>
    <w:p w14:paraId="5415851D" w14:textId="0A16C663" w:rsidR="007D4101" w:rsidRPr="007D4101" w:rsidRDefault="007D4101" w:rsidP="007D4101">
      <w:pPr>
        <w:ind w:left="432"/>
        <w:rPr>
          <w:lang w:val="en-US"/>
        </w:rPr>
      </w:pPr>
      <w:r>
        <w:rPr>
          <w:lang w:val="en-US"/>
        </w:rPr>
        <w:t>N/A</w:t>
      </w:r>
    </w:p>
    <w:p w14:paraId="4AB8DA70" w14:textId="77777777" w:rsidR="000012D7" w:rsidRDefault="000012D7" w:rsidP="000012D7">
      <w:pPr>
        <w:pStyle w:val="Heading1"/>
      </w:pPr>
      <w:bookmarkStart w:id="18" w:name="_Toc77952908"/>
      <w:r>
        <w:t>Risk Assessment</w:t>
      </w:r>
      <w:bookmarkEnd w:id="18"/>
    </w:p>
    <w:p w14:paraId="4DCFF0DF" w14:textId="2981F1CC" w:rsidR="009B344E" w:rsidRPr="007D4101" w:rsidRDefault="007D4101" w:rsidP="007D4101">
      <w:pPr>
        <w:numPr>
          <w:ilvl w:val="0"/>
          <w:numId w:val="31"/>
        </w:numPr>
        <w:rPr>
          <w:rFonts w:cs="Arial"/>
        </w:rPr>
      </w:pPr>
      <w:r>
        <w:t>See PC-HSR-HEMOCON</w:t>
      </w:r>
      <w:r w:rsidR="009B344E">
        <w:rPr>
          <w:noProof/>
          <w:color w:val="339966"/>
          <w:u w:val="single"/>
          <w:lang w:eastAsia="en-GB"/>
        </w:rPr>
        <mc:AlternateContent>
          <mc:Choice Requires="wps">
            <w:drawing>
              <wp:anchor distT="0" distB="0" distL="114300" distR="114300" simplePos="0" relativeHeight="251704320" behindDoc="0" locked="0" layoutInCell="1" allowOverlap="1" wp14:anchorId="249E81AE" wp14:editId="6FE1BAC3">
                <wp:simplePos x="0" y="0"/>
                <wp:positionH relativeFrom="column">
                  <wp:posOffset>663385</wp:posOffset>
                </wp:positionH>
                <wp:positionV relativeFrom="paragraph">
                  <wp:posOffset>219809</wp:posOffset>
                </wp:positionV>
                <wp:extent cx="5485765" cy="1211283"/>
                <wp:effectExtent l="0" t="0" r="19685" b="27305"/>
                <wp:wrapNone/>
                <wp:docPr id="7" name="Rectangle 7"/>
                <wp:cNvGraphicFramePr/>
                <a:graphic xmlns:a="http://schemas.openxmlformats.org/drawingml/2006/main">
                  <a:graphicData uri="http://schemas.microsoft.com/office/word/2010/wordprocessingShape">
                    <wps:wsp>
                      <wps:cNvSpPr/>
                      <wps:spPr>
                        <a:xfrm>
                          <a:off x="0" y="0"/>
                          <a:ext cx="5485765" cy="12112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A27DB4" id="Rectangle 7" o:spid="_x0000_s1026" style="position:absolute;margin-left:52.25pt;margin-top:17.3pt;width:431.95pt;height:9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" filled="f" strokecolor="#243f60 [1604]" strokeweight="2pt"/>
            </w:pict>
          </mc:Fallback>
        </mc:AlternateContent>
      </w:r>
    </w:p>
    <w:p w14:paraId="3D5882A3" w14:textId="77777777" w:rsidR="009B344E" w:rsidRDefault="009B344E" w:rsidP="009B344E">
      <w:pPr>
        <w:pStyle w:val="ListParagraph"/>
        <w:shd w:val="clear" w:color="auto" w:fill="D9D9D9" w:themeFill="background1" w:themeFillShade="D9"/>
        <w:ind w:left="1080"/>
        <w:rPr>
          <w:color w:val="339966"/>
          <w:u w:val="single"/>
        </w:rPr>
      </w:pPr>
      <w:r w:rsidRPr="009B344E">
        <w:rPr>
          <w:color w:val="339966"/>
          <w:u w:val="single"/>
        </w:rPr>
        <w:t>COSHH and Risk Assessment</w:t>
      </w:r>
    </w:p>
    <w:p w14:paraId="07988913" w14:textId="77777777" w:rsidR="009B344E" w:rsidRDefault="009B344E" w:rsidP="009B344E">
      <w:pPr>
        <w:pStyle w:val="ListParagraph"/>
        <w:shd w:val="clear" w:color="auto" w:fill="D9D9D9" w:themeFill="background1" w:themeFillShade="D9"/>
        <w:ind w:left="1080"/>
        <w:rPr>
          <w:color w:val="339966"/>
          <w:u w:val="single"/>
        </w:rPr>
      </w:pPr>
    </w:p>
    <w:p w14:paraId="01CF59ED" w14:textId="77777777" w:rsidR="009B344E" w:rsidRDefault="009B344E" w:rsidP="009B344E">
      <w:pPr>
        <w:pStyle w:val="ListParagraph"/>
        <w:shd w:val="clear" w:color="auto" w:fill="D9D9D9" w:themeFill="background1" w:themeFillShade="D9"/>
        <w:ind w:left="1080"/>
        <w:rPr>
          <w:color w:val="00B050"/>
          <w:sz w:val="20"/>
        </w:rPr>
      </w:pPr>
      <w:r w:rsidRPr="009B344E">
        <w:rPr>
          <w:color w:val="00B050"/>
          <w:sz w:val="20"/>
        </w:rPr>
        <w:t>This SOP and the associated risk 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14:paraId="0AB9792C" w14:textId="77777777" w:rsidR="009B344E" w:rsidRPr="009B344E" w:rsidRDefault="009B344E" w:rsidP="009B344E">
      <w:pPr>
        <w:pStyle w:val="ListParagraph"/>
        <w:shd w:val="clear" w:color="auto" w:fill="D9D9D9" w:themeFill="background1" w:themeFillShade="D9"/>
        <w:ind w:left="1080"/>
        <w:rPr>
          <w:color w:val="00B050"/>
        </w:rPr>
      </w:pPr>
    </w:p>
    <w:p w14:paraId="086A3693" w14:textId="48769938" w:rsidR="006619CD" w:rsidRDefault="001E6134" w:rsidP="000012D7">
      <w:pPr>
        <w:pStyle w:val="Heading1"/>
      </w:pPr>
      <w:bookmarkStart w:id="19" w:name="_Toc77952909"/>
      <w:r>
        <w:t>Calibration</w:t>
      </w:r>
      <w:bookmarkEnd w:id="19"/>
      <w:r>
        <w:t xml:space="preserve"> </w:t>
      </w:r>
    </w:p>
    <w:p w14:paraId="10B32418" w14:textId="77777777" w:rsidR="007D4101" w:rsidRDefault="007D4101" w:rsidP="007D4101">
      <w:pPr>
        <w:ind w:left="432"/>
        <w:rPr>
          <w:lang w:val="en-US"/>
        </w:rPr>
      </w:pPr>
      <w:r>
        <w:rPr>
          <w:lang w:val="en-US"/>
        </w:rPr>
        <w:t xml:space="preserve">The </w:t>
      </w:r>
      <w:proofErr w:type="spellStart"/>
      <w:r>
        <w:rPr>
          <w:lang w:val="en-US"/>
        </w:rPr>
        <w:t>Hemo</w:t>
      </w:r>
      <w:proofErr w:type="spellEnd"/>
      <w:r>
        <w:rPr>
          <w:lang w:val="en-US"/>
        </w:rPr>
        <w:t xml:space="preserve"> Control </w:t>
      </w:r>
      <w:proofErr w:type="spellStart"/>
      <w:r>
        <w:rPr>
          <w:lang w:val="en-US"/>
        </w:rPr>
        <w:t>Analyser</w:t>
      </w:r>
      <w:proofErr w:type="spellEnd"/>
      <w:r>
        <w:rPr>
          <w:lang w:val="en-US"/>
        </w:rPr>
        <w:t xml:space="preserve"> has an inbuilt “Self-Test” for checking the electrical and optical units.</w:t>
      </w:r>
    </w:p>
    <w:p w14:paraId="437C60CB" w14:textId="77777777" w:rsidR="007D4101" w:rsidRDefault="007D4101" w:rsidP="007D4101">
      <w:pPr>
        <w:ind w:left="432"/>
        <w:rPr>
          <w:lang w:val="en-US"/>
        </w:rPr>
      </w:pPr>
      <w:r>
        <w:rPr>
          <w:lang w:val="en-US"/>
        </w:rPr>
        <w:t xml:space="preserve">The </w:t>
      </w:r>
      <w:proofErr w:type="spellStart"/>
      <w:r>
        <w:rPr>
          <w:lang w:val="en-US"/>
        </w:rPr>
        <w:t>Hemo</w:t>
      </w:r>
      <w:proofErr w:type="spellEnd"/>
      <w:r>
        <w:rPr>
          <w:lang w:val="en-US"/>
        </w:rPr>
        <w:t xml:space="preserve"> Control is factory calibrated against the reference </w:t>
      </w:r>
      <w:proofErr w:type="spellStart"/>
      <w:r>
        <w:rPr>
          <w:lang w:val="en-US"/>
        </w:rPr>
        <w:t>cyanmethemoglobin</w:t>
      </w:r>
      <w:proofErr w:type="spellEnd"/>
      <w:r>
        <w:rPr>
          <w:lang w:val="en-US"/>
        </w:rPr>
        <w:t xml:space="preserve"> method.</w:t>
      </w:r>
    </w:p>
    <w:p w14:paraId="08E0D788" w14:textId="77777777" w:rsidR="007D4101" w:rsidRPr="007D4101" w:rsidRDefault="007D4101" w:rsidP="007D4101">
      <w:pPr>
        <w:ind w:left="432"/>
        <w:rPr>
          <w:lang w:val="en-US"/>
        </w:rPr>
      </w:pPr>
    </w:p>
    <w:p w14:paraId="292D826C" w14:textId="701EE797" w:rsidR="001E6134" w:rsidRDefault="001E6134" w:rsidP="000012D7">
      <w:pPr>
        <w:pStyle w:val="Heading1"/>
      </w:pPr>
      <w:bookmarkStart w:id="20" w:name="_Toc77952910"/>
      <w:bookmarkStart w:id="21" w:name="_Toc213598303"/>
      <w:bookmarkStart w:id="22" w:name="_Toc213598529"/>
      <w:r>
        <w:t>Quality Control</w:t>
      </w:r>
      <w:bookmarkEnd w:id="20"/>
    </w:p>
    <w:p w14:paraId="4647A89F" w14:textId="77777777" w:rsidR="00755204" w:rsidRPr="00451932" w:rsidRDefault="00755204" w:rsidP="00755204">
      <w:pPr>
        <w:ind w:left="432"/>
        <w:rPr>
          <w:lang w:val="en-US"/>
        </w:rPr>
      </w:pPr>
      <w:r>
        <w:rPr>
          <w:lang w:val="en-US"/>
        </w:rPr>
        <w:t>Quality controls should be stored between 2-8</w:t>
      </w:r>
      <w:r w:rsidRPr="00F36785">
        <w:rPr>
          <w:vertAlign w:val="superscript"/>
          <w:lang w:val="en-US"/>
        </w:rPr>
        <w:t>o</w:t>
      </w:r>
      <w:r>
        <w:rPr>
          <w:lang w:val="en-US"/>
        </w:rPr>
        <w:t>C, Stored unopened at this temperature it is guaranteed stable until the expiry date, as indicated on the vial and outer box. Once opened may be stored at room temp for 30 days.</w:t>
      </w:r>
    </w:p>
    <w:p w14:paraId="461CC64F" w14:textId="77777777" w:rsidR="00755204" w:rsidRDefault="00755204" w:rsidP="00755204">
      <w:pPr>
        <w:numPr>
          <w:ilvl w:val="0"/>
          <w:numId w:val="47"/>
        </w:numPr>
      </w:pPr>
      <w:r>
        <w:t>The control material must be used at room temperature and should not be sampled straight from the QC bottle. Mix the contents of the bottle and place 1 drop on to a hydrophobic surface. (i.e. plastic film or glass slide)</w:t>
      </w:r>
    </w:p>
    <w:p w14:paraId="58F0A9C7" w14:textId="77777777" w:rsidR="00755204" w:rsidRPr="00D374CE" w:rsidRDefault="00755204" w:rsidP="00755204">
      <w:pPr>
        <w:numPr>
          <w:ilvl w:val="0"/>
          <w:numId w:val="47"/>
        </w:numPr>
      </w:pPr>
      <w:r>
        <w:t>Pull the cuvette holder out to its loading position</w:t>
      </w:r>
    </w:p>
    <w:p w14:paraId="23AE1268" w14:textId="77777777" w:rsidR="00755204" w:rsidRPr="00D374CE" w:rsidRDefault="00755204" w:rsidP="00755204">
      <w:pPr>
        <w:numPr>
          <w:ilvl w:val="0"/>
          <w:numId w:val="47"/>
        </w:numPr>
      </w:pPr>
      <w:r>
        <w:t>Fill the cuvette with the control solution. Wipe off excess solution from the outside of the cuvette. Make sure no solution is drawn out of the cuvette.</w:t>
      </w:r>
    </w:p>
    <w:p w14:paraId="6804F4D3" w14:textId="77777777" w:rsidR="00755204" w:rsidRPr="00D374CE" w:rsidRDefault="00755204" w:rsidP="00755204">
      <w:pPr>
        <w:numPr>
          <w:ilvl w:val="0"/>
          <w:numId w:val="47"/>
        </w:numPr>
      </w:pPr>
      <w:r>
        <w:t xml:space="preserve">Place the cuvette into the holder, ensure the angled handle of the </w:t>
      </w:r>
      <w:proofErr w:type="spellStart"/>
      <w:r>
        <w:t>microcuvette</w:t>
      </w:r>
      <w:proofErr w:type="spellEnd"/>
      <w:r>
        <w:t xml:space="preserve"> is pointing to the right and push the holder into the measuring position. This should be done within 40 seconds of sampling.</w:t>
      </w:r>
    </w:p>
    <w:p w14:paraId="213122B6" w14:textId="77777777" w:rsidR="00755204" w:rsidRPr="00D374CE" w:rsidRDefault="00755204" w:rsidP="00755204">
      <w:pPr>
        <w:numPr>
          <w:ilvl w:val="0"/>
          <w:numId w:val="47"/>
        </w:numPr>
        <w:rPr>
          <w:lang w:val="en-US"/>
        </w:rPr>
      </w:pPr>
      <w:r>
        <w:rPr>
          <w:lang w:val="en-US"/>
        </w:rPr>
        <w:t>After 15 –60 seconds the result will be displayed and will remain displayed as long as the cuvette remains in the measure position.</w:t>
      </w:r>
    </w:p>
    <w:p w14:paraId="750D74B5" w14:textId="77777777" w:rsidR="00755204" w:rsidRPr="00D374CE" w:rsidRDefault="00755204" w:rsidP="00755204">
      <w:pPr>
        <w:numPr>
          <w:ilvl w:val="0"/>
          <w:numId w:val="47"/>
        </w:numPr>
        <w:rPr>
          <w:lang w:val="en-US"/>
        </w:rPr>
      </w:pPr>
      <w:r>
        <w:rPr>
          <w:lang w:val="en-US"/>
        </w:rPr>
        <w:t xml:space="preserve">Dispose of the cuvette in a sharps bin. The </w:t>
      </w:r>
      <w:proofErr w:type="spellStart"/>
      <w:r>
        <w:rPr>
          <w:lang w:val="en-US"/>
        </w:rPr>
        <w:t>analyser</w:t>
      </w:r>
      <w:proofErr w:type="spellEnd"/>
      <w:r>
        <w:rPr>
          <w:lang w:val="en-US"/>
        </w:rPr>
        <w:t xml:space="preserve"> will automatically revert to the measuring position and the QC symbol will disappear ready for patient sampling.</w:t>
      </w:r>
    </w:p>
    <w:p w14:paraId="204346BB" w14:textId="77777777" w:rsidR="00755204" w:rsidRPr="00D374CE" w:rsidRDefault="00755204" w:rsidP="00755204">
      <w:pPr>
        <w:numPr>
          <w:ilvl w:val="0"/>
          <w:numId w:val="47"/>
        </w:numPr>
        <w:rPr>
          <w:lang w:val="en-US"/>
        </w:rPr>
      </w:pPr>
      <w:r>
        <w:rPr>
          <w:lang w:val="en-US"/>
        </w:rPr>
        <w:t xml:space="preserve">Please record all QC results on the sheet provided which is kept with the </w:t>
      </w:r>
      <w:proofErr w:type="spellStart"/>
      <w:r>
        <w:rPr>
          <w:lang w:val="en-US"/>
        </w:rPr>
        <w:t>analyser</w:t>
      </w:r>
      <w:proofErr w:type="spellEnd"/>
      <w:r>
        <w:rPr>
          <w:lang w:val="en-US"/>
        </w:rPr>
        <w:t>. (PC-TEM-LBHEMOCON)</w:t>
      </w:r>
    </w:p>
    <w:p w14:paraId="4FFD3AE4" w14:textId="77777777" w:rsidR="00755204" w:rsidRPr="00D374CE" w:rsidRDefault="00755204" w:rsidP="00755204">
      <w:pPr>
        <w:numPr>
          <w:ilvl w:val="0"/>
          <w:numId w:val="47"/>
        </w:numPr>
        <w:rPr>
          <w:lang w:val="en-US"/>
        </w:rPr>
      </w:pPr>
      <w:r>
        <w:rPr>
          <w:lang w:val="en-US"/>
        </w:rPr>
        <w:t xml:space="preserve">If the QC results fall outside the Quoted ranges repeat the analysis, but do </w:t>
      </w:r>
      <w:r w:rsidRPr="00D374CE">
        <w:rPr>
          <w:b/>
          <w:lang w:val="en-US"/>
        </w:rPr>
        <w:t>NOT</w:t>
      </w:r>
      <w:r>
        <w:rPr>
          <w:lang w:val="en-US"/>
        </w:rPr>
        <w:t xml:space="preserve"> </w:t>
      </w:r>
      <w:proofErr w:type="spellStart"/>
      <w:r>
        <w:rPr>
          <w:lang w:val="en-US"/>
        </w:rPr>
        <w:t>analyse</w:t>
      </w:r>
      <w:proofErr w:type="spellEnd"/>
      <w:r>
        <w:rPr>
          <w:lang w:val="en-US"/>
        </w:rPr>
        <w:t xml:space="preserve"> patient samples until a satisfactory result has been obtained.</w:t>
      </w:r>
    </w:p>
    <w:p w14:paraId="6CA76E16" w14:textId="77777777" w:rsidR="00755204" w:rsidRPr="00755204" w:rsidRDefault="00755204" w:rsidP="00755204">
      <w:pPr>
        <w:ind w:left="432"/>
        <w:rPr>
          <w:lang w:val="en-US"/>
        </w:rPr>
      </w:pPr>
    </w:p>
    <w:p w14:paraId="7C853911" w14:textId="1CBD20F3" w:rsidR="000D24AC" w:rsidRDefault="000D24AC" w:rsidP="000012D7">
      <w:pPr>
        <w:pStyle w:val="Heading1"/>
      </w:pPr>
      <w:bookmarkStart w:id="23" w:name="_Toc77952911"/>
      <w:r w:rsidRPr="008755D2">
        <w:lastRenderedPageBreak/>
        <w:t>Method</w:t>
      </w:r>
      <w:bookmarkEnd w:id="21"/>
      <w:bookmarkEnd w:id="22"/>
      <w:bookmarkEnd w:id="23"/>
    </w:p>
    <w:p w14:paraId="0B288656" w14:textId="77777777" w:rsidR="00755204" w:rsidRPr="00432338" w:rsidRDefault="00755204" w:rsidP="00755204">
      <w:pPr>
        <w:ind w:firstLine="360"/>
        <w:rPr>
          <w:b/>
        </w:rPr>
      </w:pPr>
      <w:r w:rsidRPr="00432338">
        <w:rPr>
          <w:b/>
        </w:rPr>
        <w:t>Performing Haemoglobin on a patients sample</w:t>
      </w:r>
    </w:p>
    <w:p w14:paraId="2CB647DE" w14:textId="77777777" w:rsidR="00755204" w:rsidRPr="00432338" w:rsidRDefault="00755204" w:rsidP="00755204">
      <w:pPr>
        <w:numPr>
          <w:ilvl w:val="0"/>
          <w:numId w:val="48"/>
        </w:numPr>
      </w:pPr>
      <w:r>
        <w:t>Capillary, venous, or arterial whole blood may be used</w:t>
      </w:r>
    </w:p>
    <w:p w14:paraId="67EFD315" w14:textId="77777777" w:rsidR="00755204" w:rsidRPr="00432338" w:rsidRDefault="00755204" w:rsidP="00755204">
      <w:pPr>
        <w:numPr>
          <w:ilvl w:val="0"/>
          <w:numId w:val="48"/>
        </w:numPr>
      </w:pPr>
      <w:r>
        <w:t>Touch screen to wake analyser</w:t>
      </w:r>
    </w:p>
    <w:p w14:paraId="7681B8BF" w14:textId="77777777" w:rsidR="00755204" w:rsidRPr="00432338" w:rsidRDefault="00755204" w:rsidP="00755204">
      <w:pPr>
        <w:numPr>
          <w:ilvl w:val="0"/>
          <w:numId w:val="48"/>
        </w:numPr>
      </w:pPr>
      <w:r>
        <w:t>Pull the cuvette holder out to its loading position</w:t>
      </w:r>
    </w:p>
    <w:p w14:paraId="69997BB5" w14:textId="77777777" w:rsidR="00755204" w:rsidRPr="00432338" w:rsidRDefault="00755204" w:rsidP="00755204">
      <w:pPr>
        <w:numPr>
          <w:ilvl w:val="0"/>
          <w:numId w:val="48"/>
        </w:numPr>
      </w:pPr>
      <w:r>
        <w:t xml:space="preserve">Take the cuvette out of the container using the rear end and re-lid the container immediately. </w:t>
      </w:r>
      <w:r>
        <w:rPr>
          <w:b/>
        </w:rPr>
        <w:t>DO NOT TOUCH THE CUVETTE AT THE REACTION END</w:t>
      </w:r>
    </w:p>
    <w:p w14:paraId="402BC691" w14:textId="77777777" w:rsidR="00755204" w:rsidRPr="00432338" w:rsidRDefault="00755204" w:rsidP="00755204">
      <w:pPr>
        <w:numPr>
          <w:ilvl w:val="0"/>
          <w:numId w:val="48"/>
        </w:numPr>
      </w:pPr>
      <w:r>
        <w:t xml:space="preserve">Make sure the patient has been positively identified and consented .Clean the puncture site with disinfectant and allow </w:t>
      </w:r>
      <w:proofErr w:type="gramStart"/>
      <w:r>
        <w:t>to dry</w:t>
      </w:r>
      <w:proofErr w:type="gramEnd"/>
      <w:r>
        <w:t>.</w:t>
      </w:r>
    </w:p>
    <w:p w14:paraId="6A6D6D28" w14:textId="77777777" w:rsidR="00755204" w:rsidRPr="00432338" w:rsidRDefault="00755204" w:rsidP="00755204">
      <w:pPr>
        <w:numPr>
          <w:ilvl w:val="0"/>
          <w:numId w:val="48"/>
        </w:numPr>
      </w:pPr>
      <w:r>
        <w:t>Prick the chosen finger and wipe away the first drop of blood. Apply light pressure to obtain a second drop of blood.</w:t>
      </w:r>
    </w:p>
    <w:p w14:paraId="0301987D" w14:textId="77777777" w:rsidR="00755204" w:rsidRPr="00432338" w:rsidRDefault="00755204" w:rsidP="00755204">
      <w:pPr>
        <w:numPr>
          <w:ilvl w:val="0"/>
          <w:numId w:val="48"/>
        </w:numPr>
      </w:pPr>
      <w:r>
        <w:t>Make sure the drop of blood is big enough to fill the cuvette completely.</w:t>
      </w:r>
    </w:p>
    <w:p w14:paraId="6F4397AC" w14:textId="77777777" w:rsidR="00755204" w:rsidRPr="00432338" w:rsidRDefault="00755204" w:rsidP="00755204">
      <w:pPr>
        <w:numPr>
          <w:ilvl w:val="0"/>
          <w:numId w:val="48"/>
        </w:numPr>
      </w:pPr>
      <w:r>
        <w:t>Introduce the cuvette tip into the middle of the blood drop and allow the cuvette to fill completely. The cuvette should be filled in one continuous process and NEVER topped up.</w:t>
      </w:r>
    </w:p>
    <w:p w14:paraId="0F1E9E65" w14:textId="77777777" w:rsidR="00755204" w:rsidRPr="00432338" w:rsidRDefault="00755204" w:rsidP="00755204">
      <w:pPr>
        <w:numPr>
          <w:ilvl w:val="0"/>
          <w:numId w:val="48"/>
        </w:numPr>
      </w:pPr>
      <w:r>
        <w:t>Wipe off excess blood from the outside of the cuvette tip. Make sure no blood is drawn out of the cuvette whilst doing this.</w:t>
      </w:r>
    </w:p>
    <w:p w14:paraId="24AF4B4E" w14:textId="77777777" w:rsidR="00755204" w:rsidRPr="00432338" w:rsidRDefault="00755204" w:rsidP="00755204">
      <w:pPr>
        <w:numPr>
          <w:ilvl w:val="0"/>
          <w:numId w:val="48"/>
        </w:numPr>
      </w:pPr>
      <w:r>
        <w:t>The cuvette should be inspected for air bubbles, which may influence the results.</w:t>
      </w:r>
    </w:p>
    <w:p w14:paraId="73E8B52B" w14:textId="77777777" w:rsidR="00755204" w:rsidRPr="00432338" w:rsidRDefault="00755204" w:rsidP="00755204">
      <w:pPr>
        <w:numPr>
          <w:ilvl w:val="0"/>
          <w:numId w:val="48"/>
        </w:numPr>
      </w:pPr>
      <w:r>
        <w:t xml:space="preserve">Place the filled cuvette into the holder, ensure the angled handle on the </w:t>
      </w:r>
      <w:proofErr w:type="spellStart"/>
      <w:r>
        <w:t>microcuvette</w:t>
      </w:r>
      <w:proofErr w:type="spellEnd"/>
      <w:r>
        <w:t xml:space="preserve"> is facing to the right and push the holder into the measuring position. This should be done within 10 minutes of sampling</w:t>
      </w:r>
    </w:p>
    <w:p w14:paraId="417B178D" w14:textId="77777777" w:rsidR="00755204" w:rsidRDefault="00755204" w:rsidP="00755204">
      <w:pPr>
        <w:numPr>
          <w:ilvl w:val="0"/>
          <w:numId w:val="48"/>
        </w:numPr>
      </w:pPr>
      <w:r>
        <w:t>After 15 –60 seconds the result will be displayed and will remain displayed as long as the cuvette remains in the measure position. Please record all results in the patients’ notes.</w:t>
      </w:r>
    </w:p>
    <w:p w14:paraId="2A43497A" w14:textId="77777777" w:rsidR="00755204" w:rsidRDefault="00755204" w:rsidP="00755204">
      <w:pPr>
        <w:numPr>
          <w:ilvl w:val="0"/>
          <w:numId w:val="48"/>
        </w:numPr>
      </w:pPr>
      <w:r>
        <w:t xml:space="preserve">Dispose of the </w:t>
      </w:r>
      <w:proofErr w:type="spellStart"/>
      <w:r>
        <w:t>microcuvette</w:t>
      </w:r>
      <w:proofErr w:type="spellEnd"/>
      <w:r>
        <w:t xml:space="preserve"> in a sharps bin.</w:t>
      </w:r>
    </w:p>
    <w:p w14:paraId="72668B35" w14:textId="77777777" w:rsidR="00755204" w:rsidRPr="007B7150" w:rsidRDefault="00755204" w:rsidP="00755204">
      <w:pPr>
        <w:numPr>
          <w:ilvl w:val="0"/>
          <w:numId w:val="48"/>
        </w:numPr>
      </w:pPr>
      <w:r>
        <w:t>The analyser will enter standby mode after 5 minutes.</w:t>
      </w:r>
    </w:p>
    <w:p w14:paraId="1EA5DB94" w14:textId="77777777" w:rsidR="00755204" w:rsidRPr="00755204" w:rsidRDefault="00755204" w:rsidP="00755204">
      <w:pPr>
        <w:ind w:left="432"/>
        <w:rPr>
          <w:lang w:val="en-US"/>
        </w:rPr>
      </w:pPr>
    </w:p>
    <w:p w14:paraId="642CA416" w14:textId="66008BF2" w:rsidR="00473B50" w:rsidRDefault="00473B50" w:rsidP="000012D7">
      <w:pPr>
        <w:pStyle w:val="Heading1"/>
      </w:pPr>
      <w:bookmarkStart w:id="24" w:name="_Toc77952912"/>
      <w:r w:rsidRPr="008755D2">
        <w:t>Reporting of Results</w:t>
      </w:r>
      <w:bookmarkEnd w:id="24"/>
    </w:p>
    <w:p w14:paraId="7ECCDBDD" w14:textId="77777777" w:rsidR="00755204" w:rsidRDefault="00755204" w:rsidP="00755204">
      <w:pPr>
        <w:ind w:left="432" w:firstLine="60"/>
        <w:rPr>
          <w:lang w:val="en-US"/>
        </w:rPr>
      </w:pPr>
      <w:r>
        <w:rPr>
          <w:lang w:val="en-US"/>
        </w:rPr>
        <w:t>All results should be recorded in the patients notes alongside the date and time that the test was carried out and the name of the person carrying out the test.</w:t>
      </w:r>
    </w:p>
    <w:p w14:paraId="3E05AE23" w14:textId="141B9B22" w:rsidR="00755204" w:rsidRPr="00755204" w:rsidRDefault="00755204" w:rsidP="00755204">
      <w:pPr>
        <w:ind w:left="432"/>
        <w:rPr>
          <w:lang w:val="en-US"/>
        </w:rPr>
      </w:pPr>
      <w:r>
        <w:rPr>
          <w:lang w:val="en-US"/>
        </w:rPr>
        <w:t>The Clinician in charge of the patient should be alerted to any abnormal results</w:t>
      </w:r>
    </w:p>
    <w:p w14:paraId="74419913" w14:textId="77777777" w:rsidR="000D24AC" w:rsidRPr="008755D2" w:rsidRDefault="00833526" w:rsidP="000012D7">
      <w:pPr>
        <w:pStyle w:val="Heading1"/>
      </w:pPr>
      <w:bookmarkStart w:id="25" w:name="_Toc77952913"/>
      <w:r w:rsidRPr="008755D2">
        <w:t>Reference Ranges</w:t>
      </w:r>
      <w:bookmarkEnd w:id="25"/>
    </w:p>
    <w:p w14:paraId="5AEA67EE" w14:textId="77777777" w:rsidR="00755204" w:rsidRDefault="00755204" w:rsidP="00755204">
      <w:pPr>
        <w:ind w:firstLine="432"/>
        <w:rPr>
          <w:lang w:val="en-US"/>
        </w:rPr>
      </w:pPr>
      <w:r>
        <w:rPr>
          <w:lang w:val="en-US"/>
        </w:rPr>
        <w:t>Adult male 130-180 g/L</w:t>
      </w:r>
    </w:p>
    <w:p w14:paraId="6DA1F54B" w14:textId="77777777" w:rsidR="00755204" w:rsidRDefault="00755204" w:rsidP="00755204">
      <w:pPr>
        <w:ind w:firstLine="432"/>
        <w:rPr>
          <w:lang w:val="en-US"/>
        </w:rPr>
      </w:pPr>
      <w:r>
        <w:rPr>
          <w:lang w:val="en-US"/>
        </w:rPr>
        <w:t xml:space="preserve">Adult female 115-165 g/L  </w:t>
      </w:r>
    </w:p>
    <w:p w14:paraId="039AD4DD" w14:textId="3136C020" w:rsidR="004F3170" w:rsidRPr="008755D2" w:rsidRDefault="004F3170" w:rsidP="00755204">
      <w:pPr>
        <w:ind w:left="720"/>
        <w:rPr>
          <w:szCs w:val="22"/>
        </w:rPr>
      </w:pPr>
      <w:r w:rsidRPr="008755D2">
        <w:rPr>
          <w:szCs w:val="22"/>
        </w:rPr>
        <w:t>.</w:t>
      </w:r>
    </w:p>
    <w:p w14:paraId="65E4E173" w14:textId="544C58A8" w:rsidR="000D24AC" w:rsidRDefault="00755204" w:rsidP="000012D7">
      <w:pPr>
        <w:pStyle w:val="Heading1"/>
      </w:pPr>
      <w:bookmarkStart w:id="26" w:name="_Toc213598307"/>
      <w:bookmarkStart w:id="27" w:name="_Toc213598533"/>
      <w:bookmarkStart w:id="28" w:name="_Toc77952914"/>
      <w:r>
        <w:t>A</w:t>
      </w:r>
      <w:r w:rsidR="000D24AC" w:rsidRPr="00F65DE6">
        <w:t>ssay Performance</w:t>
      </w:r>
      <w:bookmarkEnd w:id="26"/>
      <w:bookmarkEnd w:id="27"/>
      <w:r w:rsidR="00992C1D">
        <w:t xml:space="preserve"> &amp; Known Limitations</w:t>
      </w:r>
      <w:bookmarkEnd w:id="28"/>
    </w:p>
    <w:p w14:paraId="0FF21234" w14:textId="126D5B71" w:rsidR="00755204" w:rsidRPr="00755204" w:rsidRDefault="00755204" w:rsidP="00755204">
      <w:pPr>
        <w:ind w:left="432"/>
        <w:rPr>
          <w:lang w:val="en-US"/>
        </w:rPr>
      </w:pPr>
      <w:r w:rsidRPr="00F65DE6">
        <w:t>A</w:t>
      </w:r>
      <w:r w:rsidRPr="00755204">
        <w:rPr>
          <w:lang w:val="en-US"/>
        </w:rPr>
        <w:t xml:space="preserve"> Comparison data between the </w:t>
      </w:r>
      <w:proofErr w:type="spellStart"/>
      <w:r w:rsidRPr="00755204">
        <w:rPr>
          <w:lang w:val="en-US"/>
        </w:rPr>
        <w:t>Hemo</w:t>
      </w:r>
      <w:proofErr w:type="spellEnd"/>
      <w:r w:rsidRPr="00755204">
        <w:rPr>
          <w:lang w:val="en-US"/>
        </w:rPr>
        <w:t xml:space="preserve"> Control Lab method and </w:t>
      </w:r>
      <w:proofErr w:type="spellStart"/>
      <w:r w:rsidRPr="00755204">
        <w:rPr>
          <w:lang w:val="en-US"/>
        </w:rPr>
        <w:t>Hemocue</w:t>
      </w:r>
      <w:proofErr w:type="spellEnd"/>
      <w:r w:rsidRPr="00755204">
        <w:rPr>
          <w:lang w:val="en-US"/>
        </w:rPr>
        <w:t xml:space="preserve"> 201+ can be found on Q-Pulse PC-EVA-HEMOCON</w:t>
      </w:r>
    </w:p>
    <w:sectPr w:rsidR="00755204" w:rsidRPr="00755204"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6EA25" w14:textId="77777777" w:rsidR="00860681" w:rsidRDefault="00860681">
      <w:r>
        <w:separator/>
      </w:r>
    </w:p>
  </w:endnote>
  <w:endnote w:type="continuationSeparator" w:id="0">
    <w:p w14:paraId="55409A06" w14:textId="77777777" w:rsidR="00860681" w:rsidRDefault="008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6C0C7" w14:textId="77777777" w:rsidR="00860681" w:rsidRDefault="00860681">
      <w:r>
        <w:separator/>
      </w:r>
    </w:p>
  </w:footnote>
  <w:footnote w:type="continuationSeparator" w:id="0">
    <w:p w14:paraId="6F5D2C3A" w14:textId="77777777" w:rsidR="00860681" w:rsidRDefault="0086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BA4840" w14:paraId="7BA6EDEF" w14:textId="77777777" w:rsidTr="007711E7">
      <w:trPr>
        <w:trHeight w:val="2189"/>
        <w:tblHeader/>
      </w:trPr>
      <w:tc>
        <w:tcPr>
          <w:tcW w:w="10206" w:type="dxa"/>
          <w:shd w:val="pct5" w:color="auto" w:fill="FFFFFF"/>
        </w:tcPr>
        <w:p w14:paraId="483D5267" w14:textId="77777777" w:rsidR="00BA4840" w:rsidRPr="005E598F" w:rsidRDefault="00344251" w:rsidP="007711E7">
          <w:pPr>
            <w:pStyle w:val="Header"/>
            <w:tabs>
              <w:tab w:val="clear" w:pos="8306"/>
              <w:tab w:val="right" w:pos="9531"/>
            </w:tabs>
            <w:spacing w:before="120" w:after="40"/>
            <w:rPr>
              <w:rFonts w:cs="Arial"/>
              <w:bCs/>
              <w:sz w:val="20"/>
            </w:rPr>
          </w:pPr>
          <w:r>
            <w:rPr>
              <w:rFonts w:cs="Arial"/>
              <w:bCs/>
              <w:noProof/>
              <w:color w:val="000000"/>
              <w:sz w:val="20"/>
              <w:lang w:eastAsia="en-GB"/>
            </w:rPr>
            <w:drawing>
              <wp:anchor distT="0" distB="0" distL="114300" distR="114300" simplePos="0" relativeHeight="251658240" behindDoc="0" locked="0" layoutInCell="1" allowOverlap="1" wp14:anchorId="26842EC2" wp14:editId="38029D72">
                <wp:simplePos x="0" y="0"/>
                <wp:positionH relativeFrom="column">
                  <wp:posOffset>4905375</wp:posOffset>
                </wp:positionH>
                <wp:positionV relativeFrom="paragraph">
                  <wp:posOffset>10100</wp:posOffset>
                </wp:positionV>
                <wp:extent cx="1495425" cy="835660"/>
                <wp:effectExtent l="0" t="0" r="952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35660"/>
                        </a:xfrm>
                        <a:prstGeom prst="rect">
                          <a:avLst/>
                        </a:prstGeom>
                        <a:noFill/>
                      </pic:spPr>
                    </pic:pic>
                  </a:graphicData>
                </a:graphic>
                <wp14:sizeRelH relativeFrom="page">
                  <wp14:pctWidth>0</wp14:pctWidth>
                </wp14:sizeRelH>
                <wp14:sizeRelV relativeFrom="page">
                  <wp14:pctHeight>0</wp14:pctHeight>
                </wp14:sizeRelV>
              </wp:anchor>
            </w:drawing>
          </w:r>
          <w:r w:rsidR="00F163D6">
            <w:rPr>
              <w:rFonts w:cs="Arial"/>
              <w:bCs/>
              <w:color w:val="000000"/>
              <w:sz w:val="20"/>
            </w:rPr>
            <w:t xml:space="preserve">  Speciality: </w:t>
          </w:r>
          <w:r w:rsidR="00BA4840" w:rsidRPr="004B2412">
            <w:rPr>
              <w:rFonts w:cs="Arial"/>
              <w:bCs/>
              <w:color w:val="000000"/>
              <w:sz w:val="20"/>
            </w:rPr>
            <w:t xml:space="preserve">Laboratory </w:t>
          </w:r>
          <w:r w:rsidR="00BA4840" w:rsidRPr="005E598F">
            <w:rPr>
              <w:rFonts w:cs="Arial"/>
              <w:bCs/>
              <w:sz w:val="20"/>
            </w:rPr>
            <w:t>Medicine</w:t>
          </w:r>
          <w:r w:rsidR="002F03F6" w:rsidRPr="005E598F">
            <w:rPr>
              <w:rFonts w:cs="Arial"/>
              <w:bCs/>
              <w:sz w:val="20"/>
            </w:rPr>
            <w:t xml:space="preserve">           </w:t>
          </w:r>
          <w:r w:rsidR="006F04E6" w:rsidRPr="005E598F">
            <w:rPr>
              <w:rFonts w:cs="Arial"/>
              <w:bCs/>
              <w:sz w:val="20"/>
            </w:rPr>
            <w:t xml:space="preserve">     </w:t>
          </w:r>
          <w:r w:rsidR="002F03F6" w:rsidRPr="005E598F">
            <w:rPr>
              <w:rFonts w:cs="Arial"/>
              <w:bCs/>
              <w:sz w:val="20"/>
            </w:rPr>
            <w:t xml:space="preserve">        </w:t>
          </w:r>
          <w:r w:rsidR="006F04E6" w:rsidRPr="005E598F">
            <w:rPr>
              <w:rFonts w:cs="Arial"/>
              <w:bCs/>
              <w:sz w:val="20"/>
            </w:rPr>
            <w:t xml:space="preserve">                                           </w:t>
          </w:r>
          <w:r w:rsidR="002F03F6" w:rsidRPr="005E598F">
            <w:rPr>
              <w:rFonts w:cs="Arial"/>
              <w:bCs/>
              <w:sz w:val="20"/>
            </w:rPr>
            <w:t xml:space="preserve">       </w:t>
          </w:r>
          <w:r w:rsidR="006F04E6" w:rsidRPr="005E598F">
            <w:rPr>
              <w:rFonts w:cs="Arial"/>
              <w:bCs/>
              <w:sz w:val="20"/>
            </w:rPr>
            <w:t xml:space="preserve">                         </w:t>
          </w:r>
          <w:r w:rsidR="002F03F6" w:rsidRPr="005E598F">
            <w:rPr>
              <w:rFonts w:cs="Arial"/>
              <w:bCs/>
              <w:sz w:val="20"/>
            </w:rPr>
            <w:t xml:space="preserve">              </w:t>
          </w:r>
          <w:r w:rsidR="007711E7" w:rsidRPr="005E598F">
            <w:rPr>
              <w:rFonts w:cs="Arial"/>
              <w:bCs/>
              <w:sz w:val="20"/>
            </w:rPr>
            <w:t xml:space="preserve">          </w:t>
          </w:r>
          <w:r w:rsidR="002F03F6" w:rsidRPr="005E598F">
            <w:rPr>
              <w:rFonts w:cs="Arial"/>
              <w:bCs/>
              <w:sz w:val="20"/>
            </w:rPr>
            <w:t xml:space="preserve">  </w:t>
          </w:r>
        </w:p>
        <w:p w14:paraId="738F0491" w14:textId="130B4CD8" w:rsidR="00BA4840" w:rsidRPr="005E598F" w:rsidRDefault="00F163D6" w:rsidP="00C7143A">
          <w:pPr>
            <w:pStyle w:val="Header"/>
            <w:spacing w:before="40" w:after="40"/>
            <w:ind w:left="117"/>
            <w:rPr>
              <w:rFonts w:cs="Arial"/>
              <w:sz w:val="20"/>
            </w:rPr>
          </w:pPr>
          <w:r w:rsidRPr="005E598F">
            <w:rPr>
              <w:rFonts w:cs="Arial"/>
              <w:bCs/>
              <w:sz w:val="20"/>
            </w:rPr>
            <w:t>Location</w:t>
          </w:r>
          <w:r w:rsidR="00BA4840" w:rsidRPr="005E598F">
            <w:rPr>
              <w:rFonts w:cs="Arial"/>
              <w:bCs/>
              <w:sz w:val="20"/>
            </w:rPr>
            <w:t xml:space="preserve">: </w:t>
          </w:r>
          <w:r w:rsidR="005E598F" w:rsidRPr="00942E67">
            <w:rPr>
              <w:rFonts w:cs="Arial"/>
              <w:sz w:val="20"/>
            </w:rPr>
            <w:t>Point of Care Testing</w:t>
          </w:r>
          <w:r w:rsidR="00BA4840" w:rsidRPr="005E598F">
            <w:rPr>
              <w:rFonts w:cs="Arial"/>
              <w:sz w:val="20"/>
            </w:rPr>
            <w:t xml:space="preserve"> </w:t>
          </w:r>
        </w:p>
        <w:p w14:paraId="50AF35FF" w14:textId="7FB4B607" w:rsidR="00BA4840" w:rsidRDefault="00BA4840" w:rsidP="00C7143A">
          <w:pPr>
            <w:pStyle w:val="Header"/>
            <w:spacing w:before="40" w:after="40"/>
            <w:ind w:left="117"/>
            <w:rPr>
              <w:rFonts w:cs="Arial"/>
              <w:color w:val="548DD4"/>
              <w:sz w:val="20"/>
            </w:rPr>
          </w:pPr>
          <w:r>
            <w:rPr>
              <w:rFonts w:cs="Arial"/>
              <w:bCs/>
              <w:sz w:val="20"/>
            </w:rPr>
            <w:t>F</w:t>
          </w:r>
          <w:r w:rsidRPr="004B2412">
            <w:rPr>
              <w:rFonts w:cs="Arial"/>
              <w:bCs/>
              <w:sz w:val="20"/>
            </w:rPr>
            <w:t>ilename</w:t>
          </w:r>
          <w:r>
            <w:rPr>
              <w:rFonts w:cs="Arial"/>
              <w:bCs/>
              <w:sz w:val="20"/>
            </w:rPr>
            <w:t>:</w:t>
          </w:r>
          <w:r>
            <w:t xml:space="preserve"> </w:t>
          </w:r>
          <w:r w:rsidR="005E598F">
            <w:rPr>
              <w:rFonts w:cs="Arial"/>
              <w:bCs/>
              <w:sz w:val="20"/>
            </w:rPr>
            <w:t>PC-SOP-H</w:t>
          </w:r>
          <w:r w:rsidR="00942E67">
            <w:rPr>
              <w:rFonts w:cs="Arial"/>
              <w:bCs/>
              <w:sz w:val="20"/>
            </w:rPr>
            <w:t>EMOCONTROL</w:t>
          </w:r>
        </w:p>
        <w:p w14:paraId="6CB75346" w14:textId="6FD9F752" w:rsidR="00BA4840" w:rsidRPr="004B2412" w:rsidRDefault="00344251" w:rsidP="00BA4840">
          <w:pPr>
            <w:pStyle w:val="Header"/>
            <w:tabs>
              <w:tab w:val="clear" w:pos="4153"/>
              <w:tab w:val="center" w:pos="9459"/>
            </w:tabs>
            <w:spacing w:before="40" w:after="40"/>
            <w:ind w:left="117"/>
            <w:rPr>
              <w:rFonts w:cs="Arial"/>
              <w:bCs/>
              <w:color w:val="000000"/>
              <w:sz w:val="20"/>
            </w:rPr>
          </w:pPr>
          <w:r>
            <w:rPr>
              <w:rFonts w:cs="Arial"/>
              <w:bCs/>
              <w:sz w:val="20"/>
            </w:rPr>
            <w:t xml:space="preserve">Version: </w:t>
          </w:r>
          <w:r w:rsidR="005E598F">
            <w:rPr>
              <w:rFonts w:cs="Arial"/>
              <w:bCs/>
              <w:sz w:val="20"/>
            </w:rPr>
            <w:t>2.0</w:t>
          </w:r>
        </w:p>
        <w:p w14:paraId="500283E3" w14:textId="2397F248" w:rsidR="00BA4840" w:rsidRPr="004B2412" w:rsidRDefault="00BA4840" w:rsidP="008C06B7">
          <w:pPr>
            <w:pStyle w:val="Header"/>
            <w:spacing w:before="40" w:after="40"/>
            <w:ind w:left="117"/>
            <w:rPr>
              <w:rFonts w:cs="Arial"/>
              <w:bCs/>
              <w:sz w:val="20"/>
            </w:rPr>
          </w:pPr>
          <w:r>
            <w:rPr>
              <w:rFonts w:cs="Arial"/>
              <w:bCs/>
              <w:sz w:val="20"/>
            </w:rPr>
            <w:t xml:space="preserve">Date of Issue: </w:t>
          </w:r>
          <w:r w:rsidR="005E598F">
            <w:rPr>
              <w:rFonts w:cs="Arial"/>
              <w:bCs/>
              <w:sz w:val="20"/>
            </w:rPr>
            <w:t>July 2021</w:t>
          </w:r>
        </w:p>
        <w:p w14:paraId="0B8A8531" w14:textId="0B60939B" w:rsidR="002F03F6" w:rsidRDefault="004A658E" w:rsidP="002F03F6">
          <w:pPr>
            <w:pStyle w:val="Header"/>
            <w:spacing w:before="40" w:after="40"/>
            <w:rPr>
              <w:rFonts w:cs="Arial"/>
              <w:color w:val="548DD4"/>
              <w:sz w:val="20"/>
            </w:rPr>
          </w:pPr>
          <w:r>
            <w:rPr>
              <w:rFonts w:cs="Arial"/>
              <w:bCs/>
              <w:snapToGrid w:val="0"/>
              <w:sz w:val="20"/>
            </w:rPr>
            <w:t xml:space="preserve">  </w:t>
          </w:r>
          <w:r w:rsidR="009B344E">
            <w:rPr>
              <w:rFonts w:cs="Arial"/>
              <w:bCs/>
              <w:snapToGrid w:val="0"/>
              <w:sz w:val="20"/>
            </w:rPr>
            <w:t>Approved By</w:t>
          </w:r>
          <w:r w:rsidR="005E598F">
            <w:rPr>
              <w:rFonts w:cs="Arial"/>
              <w:bCs/>
              <w:snapToGrid w:val="0"/>
              <w:sz w:val="20"/>
            </w:rPr>
            <w:t xml:space="preserve">: </w:t>
          </w:r>
          <w:r w:rsidR="00942E67">
            <w:rPr>
              <w:rFonts w:cs="Arial"/>
              <w:bCs/>
              <w:snapToGrid w:val="0"/>
              <w:sz w:val="20"/>
            </w:rPr>
            <w:t>Rachel Lampard</w:t>
          </w:r>
        </w:p>
        <w:p w14:paraId="5C246797" w14:textId="77777777" w:rsidR="004A658E" w:rsidRPr="004B2412" w:rsidRDefault="004A658E" w:rsidP="00DB61C2">
          <w:pPr>
            <w:pStyle w:val="Header"/>
            <w:spacing w:before="40" w:after="40"/>
            <w:ind w:left="117"/>
            <w:jc w:val="right"/>
            <w:rPr>
              <w:rFonts w:cs="Arial"/>
              <w:bCs/>
              <w:sz w:val="20"/>
            </w:rPr>
          </w:pPr>
          <w:r w:rsidRPr="004B2412">
            <w:rPr>
              <w:rFonts w:cs="Arial"/>
              <w:bCs/>
              <w:snapToGrid w:val="0"/>
              <w:sz w:val="20"/>
            </w:rPr>
            <w:t xml:space="preserve">Page </w:t>
          </w:r>
          <w:r w:rsidRPr="004B2412">
            <w:rPr>
              <w:rFonts w:cs="Arial"/>
              <w:bCs/>
              <w:snapToGrid w:val="0"/>
              <w:sz w:val="20"/>
            </w:rPr>
            <w:fldChar w:fldCharType="begin"/>
          </w:r>
          <w:r w:rsidRPr="004B2412">
            <w:rPr>
              <w:rFonts w:cs="Arial"/>
              <w:bCs/>
              <w:snapToGrid w:val="0"/>
              <w:sz w:val="20"/>
            </w:rPr>
            <w:instrText xml:space="preserve"> PAGE  \* MERGEFORMAT </w:instrText>
          </w:r>
          <w:r w:rsidRPr="004B2412">
            <w:rPr>
              <w:rFonts w:cs="Arial"/>
              <w:bCs/>
              <w:snapToGrid w:val="0"/>
              <w:sz w:val="20"/>
            </w:rPr>
            <w:fldChar w:fldCharType="separate"/>
          </w:r>
          <w:r w:rsidR="0087525E">
            <w:rPr>
              <w:rFonts w:cs="Arial"/>
              <w:bCs/>
              <w:noProof/>
              <w:snapToGrid w:val="0"/>
              <w:sz w:val="20"/>
            </w:rPr>
            <w:t>1</w:t>
          </w:r>
          <w:r w:rsidRPr="004B2412">
            <w:rPr>
              <w:rFonts w:cs="Arial"/>
              <w:bCs/>
              <w:snapToGrid w:val="0"/>
              <w:sz w:val="20"/>
            </w:rPr>
            <w:fldChar w:fldCharType="end"/>
          </w:r>
          <w:r w:rsidRPr="004B2412">
            <w:rPr>
              <w:rFonts w:cs="Arial"/>
              <w:bCs/>
              <w:snapToGrid w:val="0"/>
              <w:sz w:val="20"/>
            </w:rPr>
            <w:t xml:space="preserve"> of </w:t>
          </w:r>
          <w:r w:rsidRPr="004B2412">
            <w:rPr>
              <w:rFonts w:cs="Arial"/>
              <w:bCs/>
              <w:snapToGrid w:val="0"/>
              <w:sz w:val="20"/>
            </w:rPr>
            <w:fldChar w:fldCharType="begin"/>
          </w:r>
          <w:r w:rsidRPr="004B2412">
            <w:rPr>
              <w:rFonts w:cs="Arial"/>
              <w:bCs/>
              <w:snapToGrid w:val="0"/>
              <w:sz w:val="20"/>
            </w:rPr>
            <w:instrText xml:space="preserve"> NUMPAGES  \* MERGEFORMAT </w:instrText>
          </w:r>
          <w:r w:rsidRPr="004B2412">
            <w:rPr>
              <w:rFonts w:cs="Arial"/>
              <w:bCs/>
              <w:snapToGrid w:val="0"/>
              <w:sz w:val="20"/>
            </w:rPr>
            <w:fldChar w:fldCharType="separate"/>
          </w:r>
          <w:r w:rsidR="0087525E">
            <w:rPr>
              <w:rFonts w:cs="Arial"/>
              <w:bCs/>
              <w:noProof/>
              <w:snapToGrid w:val="0"/>
              <w:sz w:val="20"/>
            </w:rPr>
            <w:t>7</w:t>
          </w:r>
          <w:r w:rsidRPr="004B2412">
            <w:rPr>
              <w:rFonts w:cs="Arial"/>
              <w:bCs/>
              <w:snapToGrid w:val="0"/>
              <w:sz w:val="20"/>
            </w:rPr>
            <w:fldChar w:fldCharType="end"/>
          </w:r>
        </w:p>
      </w:tc>
    </w:tr>
  </w:tbl>
  <w:p w14:paraId="4E02E11C" w14:textId="77777777" w:rsidR="00BA4840" w:rsidRDefault="00BA4840" w:rsidP="004A6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nsid w:val="01500466"/>
    <w:multiLevelType w:val="hybridMultilevel"/>
    <w:tmpl w:val="55DA070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1902BDA"/>
    <w:multiLevelType w:val="hybridMultilevel"/>
    <w:tmpl w:val="0CB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87EDB"/>
    <w:multiLevelType w:val="hybridMultilevel"/>
    <w:tmpl w:val="F26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22209D"/>
    <w:multiLevelType w:val="hybridMultilevel"/>
    <w:tmpl w:val="1F0C6826"/>
    <w:lvl w:ilvl="0" w:tplc="A0B8457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DA5F15"/>
    <w:multiLevelType w:val="hybridMultilevel"/>
    <w:tmpl w:val="FD5C5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B20E23"/>
    <w:multiLevelType w:val="hybridMultilevel"/>
    <w:tmpl w:val="302A36B6"/>
    <w:lvl w:ilvl="0" w:tplc="7C205BA2">
      <w:start w:val="1"/>
      <w:numFmt w:val="bullet"/>
      <w:lvlText w:val=""/>
      <w:lvlJc w:val="left"/>
      <w:pPr>
        <w:tabs>
          <w:tab w:val="num" w:pos="417"/>
        </w:tabs>
        <w:ind w:left="417" w:hanging="360"/>
      </w:pPr>
      <w:rPr>
        <w:rFonts w:ascii="Symbol" w:hAnsi="Symbol" w:hint="default"/>
        <w:b w:val="0"/>
        <w:i w:val="0"/>
        <w:color w:val="auto"/>
        <w:sz w:val="12"/>
        <w:szCs w:val="12"/>
      </w:rPr>
    </w:lvl>
    <w:lvl w:ilvl="1" w:tplc="7A348AFC">
      <w:start w:val="1"/>
      <w:numFmt w:val="bullet"/>
      <w:lvlText w:val=""/>
      <w:lvlJc w:val="left"/>
      <w:pPr>
        <w:tabs>
          <w:tab w:val="num" w:pos="1307"/>
        </w:tabs>
        <w:ind w:left="1307" w:hanging="227"/>
      </w:pPr>
      <w:rPr>
        <w:rFonts w:ascii="Wingdings" w:hAnsi="Wingdings" w:hint="default"/>
        <w:b w:val="0"/>
        <w:i w:val="0"/>
        <w:color w:val="FF0000"/>
        <w:sz w:val="12"/>
        <w:szCs w:val="1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8">
    <w:nsid w:val="1A7534E6"/>
    <w:multiLevelType w:val="hybridMultilevel"/>
    <w:tmpl w:val="1F963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CD4FEC"/>
    <w:multiLevelType w:val="hybridMultilevel"/>
    <w:tmpl w:val="89449D2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0">
    <w:nsid w:val="1DEC27B3"/>
    <w:multiLevelType w:val="hybridMultilevel"/>
    <w:tmpl w:val="690C86C6"/>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1">
    <w:nsid w:val="1FD202A6"/>
    <w:multiLevelType w:val="hybridMultilevel"/>
    <w:tmpl w:val="03366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51D7E5E"/>
    <w:multiLevelType w:val="hybridMultilevel"/>
    <w:tmpl w:val="5FF2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2229CD"/>
    <w:multiLevelType w:val="hybridMultilevel"/>
    <w:tmpl w:val="9D5E982A"/>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4">
    <w:nsid w:val="29FC57D7"/>
    <w:multiLevelType w:val="multilevel"/>
    <w:tmpl w:val="965017F0"/>
    <w:lvl w:ilvl="0">
      <w:start w:val="1"/>
      <w:numFmt w:val="decimal"/>
      <w:pStyle w:val="Heading1"/>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2C7E0B57"/>
    <w:multiLevelType w:val="hybridMultilevel"/>
    <w:tmpl w:val="5CCC7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50482A"/>
    <w:multiLevelType w:val="hybridMultilevel"/>
    <w:tmpl w:val="779E5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E81775"/>
    <w:multiLevelType w:val="multilevel"/>
    <w:tmpl w:val="23C8248A"/>
    <w:lvl w:ilvl="0">
      <w:start w:val="1"/>
      <w:numFmt w:val="bullet"/>
      <w:lvlText w:val=""/>
      <w:lvlJc w:val="left"/>
      <w:pPr>
        <w:tabs>
          <w:tab w:val="num" w:pos="417"/>
        </w:tabs>
        <w:ind w:left="417" w:hanging="360"/>
      </w:pPr>
      <w:rPr>
        <w:rFonts w:ascii="Symbol" w:hAnsi="Symbol" w:hint="default"/>
        <w:b w:val="0"/>
        <w:i w:val="0"/>
        <w:color w:val="auto"/>
        <w:sz w:val="12"/>
        <w:szCs w:val="12"/>
      </w:rPr>
    </w:lvl>
    <w:lvl w:ilvl="1">
      <w:start w:val="1"/>
      <w:numFmt w:val="bullet"/>
      <w:lvlText w:val=""/>
      <w:lvlJc w:val="left"/>
      <w:pPr>
        <w:tabs>
          <w:tab w:val="num" w:pos="1440"/>
        </w:tabs>
        <w:ind w:left="1440" w:hanging="360"/>
      </w:pPr>
      <w:rPr>
        <w:rFonts w:ascii="Wingdings" w:hAnsi="Wingdings" w:hint="default"/>
        <w:b w:val="0"/>
        <w:i w:val="0"/>
        <w:color w:val="auto"/>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133AA1"/>
    <w:multiLevelType w:val="hybridMultilevel"/>
    <w:tmpl w:val="D8CEEA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3DC6040C"/>
    <w:multiLevelType w:val="hybridMultilevel"/>
    <w:tmpl w:val="EB104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E766F07"/>
    <w:multiLevelType w:val="hybridMultilevel"/>
    <w:tmpl w:val="57421B1C"/>
    <w:lvl w:ilvl="0" w:tplc="A0B8457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086426"/>
    <w:multiLevelType w:val="hybridMultilevel"/>
    <w:tmpl w:val="906AD5D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2">
    <w:nsid w:val="42DC214A"/>
    <w:multiLevelType w:val="hybridMultilevel"/>
    <w:tmpl w:val="7FC0846A"/>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3">
    <w:nsid w:val="42E769AD"/>
    <w:multiLevelType w:val="hybridMultilevel"/>
    <w:tmpl w:val="E05E0DC4"/>
    <w:lvl w:ilvl="0" w:tplc="ABB49622">
      <w:start w:val="1"/>
      <w:numFmt w:val="bullet"/>
      <w:lvlText w:val=""/>
      <w:lvlJc w:val="left"/>
      <w:pPr>
        <w:tabs>
          <w:tab w:val="num" w:pos="960"/>
        </w:tabs>
        <w:ind w:left="9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3432122"/>
    <w:multiLevelType w:val="hybridMultilevel"/>
    <w:tmpl w:val="7AFA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355F85"/>
    <w:multiLevelType w:val="hybridMultilevel"/>
    <w:tmpl w:val="F4029272"/>
    <w:lvl w:ilvl="0" w:tplc="A0B8457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765431"/>
    <w:multiLevelType w:val="hybridMultilevel"/>
    <w:tmpl w:val="395C0D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C5F2D2A"/>
    <w:multiLevelType w:val="hybridMultilevel"/>
    <w:tmpl w:val="DCB837BC"/>
    <w:lvl w:ilvl="0" w:tplc="08090001">
      <w:start w:val="1"/>
      <w:numFmt w:val="bullet"/>
      <w:lvlText w:val=""/>
      <w:lvlJc w:val="left"/>
      <w:pPr>
        <w:ind w:left="720" w:hanging="360"/>
      </w:pPr>
      <w:rPr>
        <w:rFonts w:ascii="Symbol" w:hAnsi="Symbol" w:hint="default"/>
      </w:rPr>
    </w:lvl>
    <w:lvl w:ilvl="1" w:tplc="2EDE7B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BD74C6"/>
    <w:multiLevelType w:val="multilevel"/>
    <w:tmpl w:val="5C28F3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A30A2D"/>
    <w:multiLevelType w:val="hybridMultilevel"/>
    <w:tmpl w:val="8578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9D747B2"/>
    <w:multiLevelType w:val="hybridMultilevel"/>
    <w:tmpl w:val="9522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1D1E61"/>
    <w:multiLevelType w:val="hybridMultilevel"/>
    <w:tmpl w:val="26DC4D82"/>
    <w:lvl w:ilvl="0" w:tplc="F9D63EBA">
      <w:start w:val="1"/>
      <w:numFmt w:val="bullet"/>
      <w:pStyle w:val="GBNormal"/>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61415825"/>
    <w:multiLevelType w:val="hybridMultilevel"/>
    <w:tmpl w:val="A2FC1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6A213B0"/>
    <w:multiLevelType w:val="hybridMultilevel"/>
    <w:tmpl w:val="E6A29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7E6E63"/>
    <w:multiLevelType w:val="hybridMultilevel"/>
    <w:tmpl w:val="1494E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EF759C2"/>
    <w:multiLevelType w:val="hybridMultilevel"/>
    <w:tmpl w:val="23C8248A"/>
    <w:lvl w:ilvl="0" w:tplc="7C205BA2">
      <w:start w:val="1"/>
      <w:numFmt w:val="bullet"/>
      <w:lvlText w:val=""/>
      <w:lvlJc w:val="left"/>
      <w:pPr>
        <w:tabs>
          <w:tab w:val="num" w:pos="417"/>
        </w:tabs>
        <w:ind w:left="417" w:hanging="360"/>
      </w:pPr>
      <w:rPr>
        <w:rFonts w:ascii="Symbol" w:hAnsi="Symbol" w:hint="default"/>
        <w:b w:val="0"/>
        <w:i w:val="0"/>
        <w:color w:val="auto"/>
        <w:sz w:val="12"/>
        <w:szCs w:val="12"/>
      </w:rPr>
    </w:lvl>
    <w:lvl w:ilvl="1" w:tplc="4C2CC1BC">
      <w:start w:val="1"/>
      <w:numFmt w:val="bullet"/>
      <w:lvlText w:val=""/>
      <w:lvlJc w:val="left"/>
      <w:pPr>
        <w:tabs>
          <w:tab w:val="num" w:pos="1440"/>
        </w:tabs>
        <w:ind w:left="1440" w:hanging="360"/>
      </w:pPr>
      <w:rPr>
        <w:rFonts w:ascii="Wingdings" w:hAnsi="Wingdings" w:hint="default"/>
        <w:b w:val="0"/>
        <w:i w:val="0"/>
        <w:color w:val="auto"/>
        <w:sz w:val="16"/>
        <w:szCs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7B6549C"/>
    <w:multiLevelType w:val="hybridMultilevel"/>
    <w:tmpl w:val="7BDA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463EE0"/>
    <w:multiLevelType w:val="hybridMultilevel"/>
    <w:tmpl w:val="9760D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3220A7"/>
    <w:multiLevelType w:val="hybridMultilevel"/>
    <w:tmpl w:val="C71AE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31"/>
  </w:num>
  <w:num w:numId="5">
    <w:abstractNumId w:val="35"/>
  </w:num>
  <w:num w:numId="6">
    <w:abstractNumId w:val="5"/>
  </w:num>
  <w:num w:numId="7">
    <w:abstractNumId w:val="14"/>
  </w:num>
  <w:num w:numId="8">
    <w:abstractNumId w:val="17"/>
  </w:num>
  <w:num w:numId="9">
    <w:abstractNumId w:val="6"/>
  </w:num>
  <w:num w:numId="10">
    <w:abstractNumId w:val="29"/>
  </w:num>
  <w:num w:numId="11">
    <w:abstractNumId w:val="23"/>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8"/>
  </w:num>
  <w:num w:numId="21">
    <w:abstractNumId w:val="15"/>
  </w:num>
  <w:num w:numId="22">
    <w:abstractNumId w:val="16"/>
  </w:num>
  <w:num w:numId="23">
    <w:abstractNumId w:val="37"/>
  </w:num>
  <w:num w:numId="24">
    <w:abstractNumId w:val="30"/>
  </w:num>
  <w:num w:numId="25">
    <w:abstractNumId w:val="24"/>
  </w:num>
  <w:num w:numId="26">
    <w:abstractNumId w:val="1"/>
  </w:num>
  <w:num w:numId="27">
    <w:abstractNumId w:val="10"/>
  </w:num>
  <w:num w:numId="28">
    <w:abstractNumId w:val="21"/>
  </w:num>
  <w:num w:numId="29">
    <w:abstractNumId w:val="22"/>
  </w:num>
  <w:num w:numId="30">
    <w:abstractNumId w:val="9"/>
  </w:num>
  <w:num w:numId="31">
    <w:abstractNumId w:val="11"/>
  </w:num>
  <w:num w:numId="32">
    <w:abstractNumId w:val="13"/>
  </w:num>
  <w:num w:numId="33">
    <w:abstractNumId w:val="3"/>
  </w:num>
  <w:num w:numId="34">
    <w:abstractNumId w:val="4"/>
  </w:num>
  <w:num w:numId="35">
    <w:abstractNumId w:val="20"/>
  </w:num>
  <w:num w:numId="36">
    <w:abstractNumId w:val="32"/>
  </w:num>
  <w:num w:numId="37">
    <w:abstractNumId w:val="27"/>
  </w:num>
  <w:num w:numId="38">
    <w:abstractNumId w:val="25"/>
  </w:num>
  <w:num w:numId="39">
    <w:abstractNumId w:val="33"/>
  </w:num>
  <w:num w:numId="40">
    <w:abstractNumId w:val="28"/>
  </w:num>
  <w:num w:numId="41">
    <w:abstractNumId w:val="38"/>
  </w:num>
  <w:num w:numId="42">
    <w:abstractNumId w:val="18"/>
  </w:num>
  <w:num w:numId="43">
    <w:abstractNumId w:val="34"/>
  </w:num>
  <w:num w:numId="44">
    <w:abstractNumId w:val="2"/>
  </w:num>
  <w:num w:numId="45">
    <w:abstractNumId w:val="12"/>
  </w:num>
  <w:num w:numId="46">
    <w:abstractNumId w:val="36"/>
  </w:num>
  <w:num w:numId="47">
    <w:abstractNumId w:val="19"/>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AC"/>
    <w:rsid w:val="000012D7"/>
    <w:rsid w:val="0002567E"/>
    <w:rsid w:val="00042173"/>
    <w:rsid w:val="00043259"/>
    <w:rsid w:val="000642FA"/>
    <w:rsid w:val="00067D34"/>
    <w:rsid w:val="000772FF"/>
    <w:rsid w:val="00093AEC"/>
    <w:rsid w:val="000A5105"/>
    <w:rsid w:val="000A6255"/>
    <w:rsid w:val="000B1AA3"/>
    <w:rsid w:val="000D24AC"/>
    <w:rsid w:val="000D3E77"/>
    <w:rsid w:val="000D3F46"/>
    <w:rsid w:val="000D7518"/>
    <w:rsid w:val="000E3456"/>
    <w:rsid w:val="000E557D"/>
    <w:rsid w:val="000E7358"/>
    <w:rsid w:val="000E777E"/>
    <w:rsid w:val="000E7FDF"/>
    <w:rsid w:val="000F0E14"/>
    <w:rsid w:val="00102F3A"/>
    <w:rsid w:val="00103991"/>
    <w:rsid w:val="00105A6D"/>
    <w:rsid w:val="001078FB"/>
    <w:rsid w:val="001112B2"/>
    <w:rsid w:val="001118C5"/>
    <w:rsid w:val="00112AF6"/>
    <w:rsid w:val="00115164"/>
    <w:rsid w:val="00120744"/>
    <w:rsid w:val="00145EB3"/>
    <w:rsid w:val="00154129"/>
    <w:rsid w:val="0017384E"/>
    <w:rsid w:val="001743B9"/>
    <w:rsid w:val="001A1D6A"/>
    <w:rsid w:val="001D0875"/>
    <w:rsid w:val="001E3DE3"/>
    <w:rsid w:val="001E6134"/>
    <w:rsid w:val="001F08FE"/>
    <w:rsid w:val="00205B19"/>
    <w:rsid w:val="00205E49"/>
    <w:rsid w:val="00210F61"/>
    <w:rsid w:val="00217489"/>
    <w:rsid w:val="0024068A"/>
    <w:rsid w:val="00244AAC"/>
    <w:rsid w:val="00247304"/>
    <w:rsid w:val="00264C91"/>
    <w:rsid w:val="002876D0"/>
    <w:rsid w:val="00287C3E"/>
    <w:rsid w:val="002910BD"/>
    <w:rsid w:val="002B18C8"/>
    <w:rsid w:val="002B229E"/>
    <w:rsid w:val="002C0BC8"/>
    <w:rsid w:val="002C5007"/>
    <w:rsid w:val="002D6E05"/>
    <w:rsid w:val="002E17FD"/>
    <w:rsid w:val="002E5109"/>
    <w:rsid w:val="002F03F6"/>
    <w:rsid w:val="002F357B"/>
    <w:rsid w:val="002F449A"/>
    <w:rsid w:val="00301163"/>
    <w:rsid w:val="00302063"/>
    <w:rsid w:val="00304F73"/>
    <w:rsid w:val="003051F5"/>
    <w:rsid w:val="0030671F"/>
    <w:rsid w:val="00307ABA"/>
    <w:rsid w:val="0031005A"/>
    <w:rsid w:val="00314AA7"/>
    <w:rsid w:val="00317446"/>
    <w:rsid w:val="0033539D"/>
    <w:rsid w:val="00336289"/>
    <w:rsid w:val="00344251"/>
    <w:rsid w:val="00345DB5"/>
    <w:rsid w:val="00351220"/>
    <w:rsid w:val="0035281D"/>
    <w:rsid w:val="00363D31"/>
    <w:rsid w:val="00363E9A"/>
    <w:rsid w:val="003A6618"/>
    <w:rsid w:val="003C4B41"/>
    <w:rsid w:val="003D3D08"/>
    <w:rsid w:val="003E6918"/>
    <w:rsid w:val="003F01AA"/>
    <w:rsid w:val="003F6285"/>
    <w:rsid w:val="00404C81"/>
    <w:rsid w:val="0040572E"/>
    <w:rsid w:val="00440468"/>
    <w:rsid w:val="00446E14"/>
    <w:rsid w:val="00473B50"/>
    <w:rsid w:val="00474715"/>
    <w:rsid w:val="00474A5B"/>
    <w:rsid w:val="00483311"/>
    <w:rsid w:val="0048350B"/>
    <w:rsid w:val="004879F8"/>
    <w:rsid w:val="004A658E"/>
    <w:rsid w:val="004B2412"/>
    <w:rsid w:val="004B6423"/>
    <w:rsid w:val="004C1E5F"/>
    <w:rsid w:val="004C6CCF"/>
    <w:rsid w:val="004D06B6"/>
    <w:rsid w:val="004E1514"/>
    <w:rsid w:val="004F3170"/>
    <w:rsid w:val="004F6ED7"/>
    <w:rsid w:val="00520CE3"/>
    <w:rsid w:val="00524A5D"/>
    <w:rsid w:val="00526502"/>
    <w:rsid w:val="005328F6"/>
    <w:rsid w:val="00534613"/>
    <w:rsid w:val="00541F83"/>
    <w:rsid w:val="00542827"/>
    <w:rsid w:val="0054702D"/>
    <w:rsid w:val="00553F98"/>
    <w:rsid w:val="005547CF"/>
    <w:rsid w:val="00576096"/>
    <w:rsid w:val="00585089"/>
    <w:rsid w:val="00592120"/>
    <w:rsid w:val="00596497"/>
    <w:rsid w:val="005A279D"/>
    <w:rsid w:val="005A4B3C"/>
    <w:rsid w:val="005A4C46"/>
    <w:rsid w:val="005B019C"/>
    <w:rsid w:val="005B4B04"/>
    <w:rsid w:val="005B5785"/>
    <w:rsid w:val="005B735A"/>
    <w:rsid w:val="005B7859"/>
    <w:rsid w:val="005C452C"/>
    <w:rsid w:val="005D3F6C"/>
    <w:rsid w:val="005D5C15"/>
    <w:rsid w:val="005E598F"/>
    <w:rsid w:val="005F19E4"/>
    <w:rsid w:val="00612657"/>
    <w:rsid w:val="00614699"/>
    <w:rsid w:val="00617643"/>
    <w:rsid w:val="0062179E"/>
    <w:rsid w:val="00626641"/>
    <w:rsid w:val="00651AF7"/>
    <w:rsid w:val="006619CD"/>
    <w:rsid w:val="00667A8E"/>
    <w:rsid w:val="00676877"/>
    <w:rsid w:val="0068283E"/>
    <w:rsid w:val="006A5D43"/>
    <w:rsid w:val="006B2AF5"/>
    <w:rsid w:val="006C531D"/>
    <w:rsid w:val="006D0273"/>
    <w:rsid w:val="006D616F"/>
    <w:rsid w:val="006E1387"/>
    <w:rsid w:val="006E4386"/>
    <w:rsid w:val="006F04E6"/>
    <w:rsid w:val="006F413D"/>
    <w:rsid w:val="00706B97"/>
    <w:rsid w:val="007217D3"/>
    <w:rsid w:val="007315DE"/>
    <w:rsid w:val="00736F9D"/>
    <w:rsid w:val="00755204"/>
    <w:rsid w:val="007711E7"/>
    <w:rsid w:val="00791B5D"/>
    <w:rsid w:val="00794B26"/>
    <w:rsid w:val="00795D3B"/>
    <w:rsid w:val="00796A37"/>
    <w:rsid w:val="00797956"/>
    <w:rsid w:val="007A48B6"/>
    <w:rsid w:val="007C3250"/>
    <w:rsid w:val="007C3522"/>
    <w:rsid w:val="007D4101"/>
    <w:rsid w:val="007D52F0"/>
    <w:rsid w:val="007D69E6"/>
    <w:rsid w:val="007E6753"/>
    <w:rsid w:val="00804837"/>
    <w:rsid w:val="008328A5"/>
    <w:rsid w:val="00833526"/>
    <w:rsid w:val="00834070"/>
    <w:rsid w:val="00860681"/>
    <w:rsid w:val="0087525E"/>
    <w:rsid w:val="008755D2"/>
    <w:rsid w:val="00875CB8"/>
    <w:rsid w:val="008862A0"/>
    <w:rsid w:val="00890C22"/>
    <w:rsid w:val="008A6426"/>
    <w:rsid w:val="008C06B7"/>
    <w:rsid w:val="008C5938"/>
    <w:rsid w:val="008E0D8C"/>
    <w:rsid w:val="008F5408"/>
    <w:rsid w:val="0092129A"/>
    <w:rsid w:val="00942E67"/>
    <w:rsid w:val="00950E61"/>
    <w:rsid w:val="00956B67"/>
    <w:rsid w:val="00960AD2"/>
    <w:rsid w:val="009678A9"/>
    <w:rsid w:val="009912A2"/>
    <w:rsid w:val="00992C1D"/>
    <w:rsid w:val="009A047A"/>
    <w:rsid w:val="009A3A58"/>
    <w:rsid w:val="009A65E8"/>
    <w:rsid w:val="009B344E"/>
    <w:rsid w:val="009C0778"/>
    <w:rsid w:val="009C178C"/>
    <w:rsid w:val="009C4CEA"/>
    <w:rsid w:val="009C7797"/>
    <w:rsid w:val="009D1E14"/>
    <w:rsid w:val="009E1139"/>
    <w:rsid w:val="009E58A5"/>
    <w:rsid w:val="00A04EC0"/>
    <w:rsid w:val="00A06FCA"/>
    <w:rsid w:val="00A112B9"/>
    <w:rsid w:val="00A1291A"/>
    <w:rsid w:val="00A13F54"/>
    <w:rsid w:val="00A1411E"/>
    <w:rsid w:val="00A339ED"/>
    <w:rsid w:val="00A41BC8"/>
    <w:rsid w:val="00A44051"/>
    <w:rsid w:val="00A449BD"/>
    <w:rsid w:val="00A60F54"/>
    <w:rsid w:val="00A628DC"/>
    <w:rsid w:val="00A70950"/>
    <w:rsid w:val="00A77696"/>
    <w:rsid w:val="00A866CB"/>
    <w:rsid w:val="00AC0CAE"/>
    <w:rsid w:val="00B227DE"/>
    <w:rsid w:val="00B23B9E"/>
    <w:rsid w:val="00B406C0"/>
    <w:rsid w:val="00B45B38"/>
    <w:rsid w:val="00B477CC"/>
    <w:rsid w:val="00B5102B"/>
    <w:rsid w:val="00B550D2"/>
    <w:rsid w:val="00B57608"/>
    <w:rsid w:val="00B66655"/>
    <w:rsid w:val="00B729D8"/>
    <w:rsid w:val="00B80E32"/>
    <w:rsid w:val="00BA4840"/>
    <w:rsid w:val="00BA688F"/>
    <w:rsid w:val="00BB2523"/>
    <w:rsid w:val="00BC743F"/>
    <w:rsid w:val="00BE30A5"/>
    <w:rsid w:val="00C061AB"/>
    <w:rsid w:val="00C23EE1"/>
    <w:rsid w:val="00C24C4A"/>
    <w:rsid w:val="00C27F1A"/>
    <w:rsid w:val="00C50103"/>
    <w:rsid w:val="00C6685B"/>
    <w:rsid w:val="00C7143A"/>
    <w:rsid w:val="00C7353C"/>
    <w:rsid w:val="00C7620C"/>
    <w:rsid w:val="00C83C6D"/>
    <w:rsid w:val="00C879F6"/>
    <w:rsid w:val="00C91D8D"/>
    <w:rsid w:val="00C92C29"/>
    <w:rsid w:val="00C9407D"/>
    <w:rsid w:val="00CA033B"/>
    <w:rsid w:val="00CD2A7E"/>
    <w:rsid w:val="00CD54C3"/>
    <w:rsid w:val="00CE345C"/>
    <w:rsid w:val="00CF30A5"/>
    <w:rsid w:val="00D126C6"/>
    <w:rsid w:val="00D200DE"/>
    <w:rsid w:val="00D239B7"/>
    <w:rsid w:val="00D24926"/>
    <w:rsid w:val="00D257AA"/>
    <w:rsid w:val="00D26B62"/>
    <w:rsid w:val="00D302F3"/>
    <w:rsid w:val="00D33DD0"/>
    <w:rsid w:val="00D5596E"/>
    <w:rsid w:val="00D83ABE"/>
    <w:rsid w:val="00D93B15"/>
    <w:rsid w:val="00DA54BD"/>
    <w:rsid w:val="00DB2EA3"/>
    <w:rsid w:val="00DB61C2"/>
    <w:rsid w:val="00DB705A"/>
    <w:rsid w:val="00DD2228"/>
    <w:rsid w:val="00DF2D9D"/>
    <w:rsid w:val="00DF5D9F"/>
    <w:rsid w:val="00E12FB1"/>
    <w:rsid w:val="00E1519C"/>
    <w:rsid w:val="00E30370"/>
    <w:rsid w:val="00E53A4C"/>
    <w:rsid w:val="00E572F4"/>
    <w:rsid w:val="00E63E9A"/>
    <w:rsid w:val="00E63FD8"/>
    <w:rsid w:val="00E66E0B"/>
    <w:rsid w:val="00E72BE9"/>
    <w:rsid w:val="00E732A9"/>
    <w:rsid w:val="00E776BC"/>
    <w:rsid w:val="00E86344"/>
    <w:rsid w:val="00E951D2"/>
    <w:rsid w:val="00EE0345"/>
    <w:rsid w:val="00EE5B4C"/>
    <w:rsid w:val="00F10D2E"/>
    <w:rsid w:val="00F163D6"/>
    <w:rsid w:val="00F613F1"/>
    <w:rsid w:val="00F65DE6"/>
    <w:rsid w:val="00F66172"/>
    <w:rsid w:val="00F93028"/>
    <w:rsid w:val="00F95A07"/>
    <w:rsid w:val="00F9747B"/>
    <w:rsid w:val="00FC3AC1"/>
    <w:rsid w:val="00FC4CFE"/>
    <w:rsid w:val="00FC77AA"/>
    <w:rsid w:val="00FD1099"/>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E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semiHidden/>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semiHidden/>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1701-9457-4166-AE0D-17264F97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9546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11173</CharactersWithSpaces>
  <SharedDoc>false</SharedDoc>
  <HLinks>
    <vt:vector size="84" baseType="variant">
      <vt:variant>
        <vt:i4>1376304</vt:i4>
      </vt:variant>
      <vt:variant>
        <vt:i4>80</vt:i4>
      </vt:variant>
      <vt:variant>
        <vt:i4>0</vt:i4>
      </vt:variant>
      <vt:variant>
        <vt:i4>5</vt:i4>
      </vt:variant>
      <vt:variant>
        <vt:lpwstr/>
      </vt:variant>
      <vt:variant>
        <vt:lpwstr>_Toc434316143</vt:lpwstr>
      </vt:variant>
      <vt:variant>
        <vt:i4>1376304</vt:i4>
      </vt:variant>
      <vt:variant>
        <vt:i4>74</vt:i4>
      </vt:variant>
      <vt:variant>
        <vt:i4>0</vt:i4>
      </vt:variant>
      <vt:variant>
        <vt:i4>5</vt:i4>
      </vt:variant>
      <vt:variant>
        <vt:lpwstr/>
      </vt:variant>
      <vt:variant>
        <vt:lpwstr>_Toc434316142</vt:lpwstr>
      </vt:variant>
      <vt:variant>
        <vt:i4>1376304</vt:i4>
      </vt:variant>
      <vt:variant>
        <vt:i4>68</vt:i4>
      </vt:variant>
      <vt:variant>
        <vt:i4>0</vt:i4>
      </vt:variant>
      <vt:variant>
        <vt:i4>5</vt:i4>
      </vt:variant>
      <vt:variant>
        <vt:lpwstr/>
      </vt:variant>
      <vt:variant>
        <vt:lpwstr>_Toc434316141</vt:lpwstr>
      </vt:variant>
      <vt:variant>
        <vt:i4>1376304</vt:i4>
      </vt:variant>
      <vt:variant>
        <vt:i4>62</vt:i4>
      </vt:variant>
      <vt:variant>
        <vt:i4>0</vt:i4>
      </vt:variant>
      <vt:variant>
        <vt:i4>5</vt:i4>
      </vt:variant>
      <vt:variant>
        <vt:lpwstr/>
      </vt:variant>
      <vt:variant>
        <vt:lpwstr>_Toc434316140</vt:lpwstr>
      </vt:variant>
      <vt:variant>
        <vt:i4>1179696</vt:i4>
      </vt:variant>
      <vt:variant>
        <vt:i4>56</vt:i4>
      </vt:variant>
      <vt:variant>
        <vt:i4>0</vt:i4>
      </vt:variant>
      <vt:variant>
        <vt:i4>5</vt:i4>
      </vt:variant>
      <vt:variant>
        <vt:lpwstr/>
      </vt:variant>
      <vt:variant>
        <vt:lpwstr>_Toc434316139</vt:lpwstr>
      </vt:variant>
      <vt:variant>
        <vt:i4>1179696</vt:i4>
      </vt:variant>
      <vt:variant>
        <vt:i4>50</vt:i4>
      </vt:variant>
      <vt:variant>
        <vt:i4>0</vt:i4>
      </vt:variant>
      <vt:variant>
        <vt:i4>5</vt:i4>
      </vt:variant>
      <vt:variant>
        <vt:lpwstr/>
      </vt:variant>
      <vt:variant>
        <vt:lpwstr>_Toc434316138</vt:lpwstr>
      </vt:variant>
      <vt:variant>
        <vt:i4>1179696</vt:i4>
      </vt:variant>
      <vt:variant>
        <vt:i4>44</vt:i4>
      </vt:variant>
      <vt:variant>
        <vt:i4>0</vt:i4>
      </vt:variant>
      <vt:variant>
        <vt:i4>5</vt:i4>
      </vt:variant>
      <vt:variant>
        <vt:lpwstr/>
      </vt:variant>
      <vt:variant>
        <vt:lpwstr>_Toc434316137</vt:lpwstr>
      </vt:variant>
      <vt:variant>
        <vt:i4>1179696</vt:i4>
      </vt:variant>
      <vt:variant>
        <vt:i4>38</vt:i4>
      </vt:variant>
      <vt:variant>
        <vt:i4>0</vt:i4>
      </vt:variant>
      <vt:variant>
        <vt:i4>5</vt:i4>
      </vt:variant>
      <vt:variant>
        <vt:lpwstr/>
      </vt:variant>
      <vt:variant>
        <vt:lpwstr>_Toc434316136</vt:lpwstr>
      </vt:variant>
      <vt:variant>
        <vt:i4>1179696</vt:i4>
      </vt:variant>
      <vt:variant>
        <vt:i4>32</vt:i4>
      </vt:variant>
      <vt:variant>
        <vt:i4>0</vt:i4>
      </vt:variant>
      <vt:variant>
        <vt:i4>5</vt:i4>
      </vt:variant>
      <vt:variant>
        <vt:lpwstr/>
      </vt:variant>
      <vt:variant>
        <vt:lpwstr>_Toc434316135</vt:lpwstr>
      </vt:variant>
      <vt:variant>
        <vt:i4>1179696</vt:i4>
      </vt:variant>
      <vt:variant>
        <vt:i4>26</vt:i4>
      </vt:variant>
      <vt:variant>
        <vt:i4>0</vt:i4>
      </vt:variant>
      <vt:variant>
        <vt:i4>5</vt:i4>
      </vt:variant>
      <vt:variant>
        <vt:lpwstr/>
      </vt:variant>
      <vt:variant>
        <vt:lpwstr>_Toc434316134</vt:lpwstr>
      </vt:variant>
      <vt:variant>
        <vt:i4>1179696</vt:i4>
      </vt:variant>
      <vt:variant>
        <vt:i4>20</vt:i4>
      </vt:variant>
      <vt:variant>
        <vt:i4>0</vt:i4>
      </vt:variant>
      <vt:variant>
        <vt:i4>5</vt:i4>
      </vt:variant>
      <vt:variant>
        <vt:lpwstr/>
      </vt:variant>
      <vt:variant>
        <vt:lpwstr>_Toc434316133</vt:lpwstr>
      </vt:variant>
      <vt:variant>
        <vt:i4>1179696</vt:i4>
      </vt:variant>
      <vt:variant>
        <vt:i4>14</vt:i4>
      </vt:variant>
      <vt:variant>
        <vt:i4>0</vt:i4>
      </vt:variant>
      <vt:variant>
        <vt:i4>5</vt:i4>
      </vt:variant>
      <vt:variant>
        <vt:lpwstr/>
      </vt:variant>
      <vt:variant>
        <vt:lpwstr>_Toc434316132</vt:lpwstr>
      </vt:variant>
      <vt:variant>
        <vt:i4>1179696</vt:i4>
      </vt:variant>
      <vt:variant>
        <vt:i4>8</vt:i4>
      </vt:variant>
      <vt:variant>
        <vt:i4>0</vt:i4>
      </vt:variant>
      <vt:variant>
        <vt:i4>5</vt:i4>
      </vt:variant>
      <vt:variant>
        <vt:lpwstr/>
      </vt:variant>
      <vt:variant>
        <vt:lpwstr>_Toc434316131</vt:lpwstr>
      </vt:variant>
      <vt:variant>
        <vt:i4>1179696</vt:i4>
      </vt:variant>
      <vt:variant>
        <vt:i4>2</vt:i4>
      </vt:variant>
      <vt:variant>
        <vt:i4>0</vt:i4>
      </vt:variant>
      <vt:variant>
        <vt:i4>5</vt:i4>
      </vt:variant>
      <vt:variant>
        <vt:lpwstr/>
      </vt:variant>
      <vt:variant>
        <vt:lpwstr>_Toc434316130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Lovie, Rick</cp:lastModifiedBy>
  <cp:revision>2</cp:revision>
  <cp:lastPrinted>2014-04-04T14:17:00Z</cp:lastPrinted>
  <dcterms:created xsi:type="dcterms:W3CDTF">2021-10-01T09:39:00Z</dcterms:created>
  <dcterms:modified xsi:type="dcterms:W3CDTF">2021-10-01T09:39:00Z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