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F5B82" w14:textId="77777777" w:rsidR="00AA354C" w:rsidRPr="009C4E71" w:rsidRDefault="00AA354C" w:rsidP="009C4E71">
      <w:pPr>
        <w:spacing w:before="120"/>
        <w:jc w:val="center"/>
        <w:rPr>
          <w:rFonts w:ascii="Arial Unicode MS" w:eastAsia="Arial Unicode MS" w:hAnsi="Arial Unicode MS" w:cs="Arial Unicode MS"/>
          <w:b/>
          <w:color w:val="990033"/>
          <w:sz w:val="32"/>
          <w:szCs w:val="23"/>
        </w:rPr>
      </w:pPr>
      <w:r w:rsidRPr="003243C5">
        <w:rPr>
          <w:rFonts w:ascii="Arial Unicode MS" w:eastAsia="Arial Unicode MS" w:hAnsi="Arial Unicode MS" w:cs="Arial Unicode MS"/>
          <w:b/>
          <w:color w:val="990033"/>
          <w:sz w:val="32"/>
          <w:szCs w:val="23"/>
        </w:rPr>
        <w:t>HbA1c for MONITORING of Diabetes Mellitus</w:t>
      </w:r>
    </w:p>
    <w:p w14:paraId="5A567898" w14:textId="77777777" w:rsidR="00AA354C" w:rsidRPr="007064AE" w:rsidRDefault="00AA354C" w:rsidP="00AA354C">
      <w:pPr>
        <w:autoSpaceDE w:val="0"/>
        <w:autoSpaceDN w:val="0"/>
        <w:adjustRightInd w:val="0"/>
        <w:jc w:val="both"/>
        <w:rPr>
          <w:rFonts w:ascii="Arial Unicode MS" w:eastAsia="Arial Unicode MS" w:hAnsi="Arial Unicode MS" w:cs="Arial Unicode MS"/>
          <w:sz w:val="12"/>
          <w:szCs w:val="22"/>
          <w:lang w:val="en"/>
        </w:rPr>
      </w:pPr>
      <w:r>
        <w:rPr>
          <w:noProof/>
          <w:lang w:eastAsia="en-GB"/>
        </w:rPr>
        <mc:AlternateContent>
          <mc:Choice Requires="wps">
            <w:drawing>
              <wp:anchor distT="0" distB="0" distL="114300" distR="114300" simplePos="0" relativeHeight="251659264" behindDoc="0" locked="0" layoutInCell="1" allowOverlap="1" wp14:anchorId="1416FC1E" wp14:editId="50D2D2D4">
                <wp:simplePos x="0" y="0"/>
                <wp:positionH relativeFrom="margin">
                  <wp:align>center</wp:align>
                </wp:positionH>
                <wp:positionV relativeFrom="paragraph">
                  <wp:posOffset>44450</wp:posOffset>
                </wp:positionV>
                <wp:extent cx="5734050" cy="18478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847850"/>
                        </a:xfrm>
                        <a:prstGeom prst="rect">
                          <a:avLst/>
                        </a:prstGeom>
                        <a:solidFill>
                          <a:srgbClr val="990033"/>
                        </a:solidFill>
                        <a:ln w="9525">
                          <a:solidFill>
                            <a:srgbClr val="000000"/>
                          </a:solidFill>
                          <a:miter lim="800000"/>
                          <a:headEnd/>
                          <a:tailEnd/>
                        </a:ln>
                      </wps:spPr>
                      <wps:txbx>
                        <w:txbxContent>
                          <w:p w14:paraId="6F29CA36" w14:textId="77777777" w:rsidR="00AA354C" w:rsidRPr="009C4E71" w:rsidRDefault="00AA354C" w:rsidP="009C4E71">
                            <w:pPr>
                              <w:pStyle w:val="NoSpacing"/>
                              <w:spacing w:line="360" w:lineRule="auto"/>
                              <w:jc w:val="center"/>
                              <w:rPr>
                                <w:rFonts w:eastAsia="Arial Unicode MS"/>
                                <w:b/>
                                <w:u w:val="single"/>
                                <w:lang w:eastAsia="en-GB"/>
                              </w:rPr>
                            </w:pPr>
                            <w:r w:rsidRPr="009C4E71">
                              <w:rPr>
                                <w:rFonts w:eastAsia="Arial Unicode MS"/>
                                <w:b/>
                                <w:u w:val="single"/>
                                <w:lang w:eastAsia="en-GB"/>
                              </w:rPr>
                              <w:t>Frequency of measurement</w:t>
                            </w:r>
                          </w:p>
                          <w:p w14:paraId="313F7CAB" w14:textId="77777777" w:rsidR="00A000CF" w:rsidRDefault="00AA354C" w:rsidP="009C4E71">
                            <w:pPr>
                              <w:pStyle w:val="NoSpacing"/>
                              <w:spacing w:line="360" w:lineRule="auto"/>
                              <w:jc w:val="center"/>
                              <w:rPr>
                                <w:rFonts w:eastAsia="Arial Unicode MS"/>
                                <w:szCs w:val="22"/>
                              </w:rPr>
                            </w:pPr>
                            <w:r w:rsidRPr="00AA354C">
                              <w:rPr>
                                <w:rFonts w:eastAsia="Arial Unicode MS"/>
                                <w:szCs w:val="22"/>
                                <w:lang w:eastAsia="en-GB"/>
                              </w:rPr>
                              <w:t xml:space="preserve">HbA1c measures glucose bound to haemoglobin and it provides an indication of </w:t>
                            </w:r>
                            <w:r w:rsidRPr="00AA354C">
                              <w:rPr>
                                <w:rFonts w:eastAsia="Arial Unicode MS"/>
                                <w:szCs w:val="22"/>
                                <w:lang w:val="en"/>
                              </w:rPr>
                              <w:t xml:space="preserve">the average level </w:t>
                            </w:r>
                            <w:r w:rsidR="00A000CF">
                              <w:rPr>
                                <w:rFonts w:eastAsia="Arial Unicode MS"/>
                                <w:szCs w:val="22"/>
                                <w:lang w:val="en"/>
                              </w:rPr>
                              <w:t>of blood glucose during the previous</w:t>
                            </w:r>
                            <w:r w:rsidRPr="00AA354C">
                              <w:rPr>
                                <w:rFonts w:eastAsia="Arial Unicode MS"/>
                                <w:szCs w:val="22"/>
                                <w:lang w:val="en"/>
                              </w:rPr>
                              <w:t xml:space="preserve"> 2-3 months (the lifespan of a typical </w:t>
                            </w:r>
                            <w:proofErr w:type="spellStart"/>
                            <w:r w:rsidRPr="00AA354C">
                              <w:rPr>
                                <w:rFonts w:eastAsia="Arial Unicode MS"/>
                                <w:szCs w:val="22"/>
                                <w:lang w:val="en"/>
                              </w:rPr>
                              <w:t>haemoglobin</w:t>
                            </w:r>
                            <w:proofErr w:type="spellEnd"/>
                            <w:r w:rsidRPr="00AA354C">
                              <w:rPr>
                                <w:rFonts w:eastAsia="Arial Unicode MS"/>
                                <w:szCs w:val="22"/>
                                <w:lang w:val="en"/>
                              </w:rPr>
                              <w:t xml:space="preserve"> molecule)</w:t>
                            </w:r>
                            <w:r w:rsidRPr="00AA354C">
                              <w:rPr>
                                <w:rFonts w:eastAsia="Arial Unicode MS"/>
                                <w:szCs w:val="22"/>
                              </w:rPr>
                              <w:t>.  Therefore re-checking HbA1c levels within 90 days of a change in diabetes management will not fully reflect the impact of the change.</w:t>
                            </w:r>
                            <w:r w:rsidRPr="00AA354C">
                              <w:rPr>
                                <w:rStyle w:val="EndnoteReference"/>
                                <w:rFonts w:ascii="Arial Unicode MS" w:eastAsia="Arial Unicode MS" w:hAnsi="Arial Unicode MS" w:cs="Arial Unicode MS"/>
                                <w:color w:val="FFFFFF"/>
                                <w:szCs w:val="22"/>
                              </w:rPr>
                              <w:t>$</w:t>
                            </w:r>
                            <w:r w:rsidRPr="00AA354C">
                              <w:rPr>
                                <w:rFonts w:eastAsia="Arial Unicode MS"/>
                                <w:szCs w:val="22"/>
                              </w:rPr>
                              <w:t xml:space="preserve">  </w:t>
                            </w:r>
                          </w:p>
                          <w:p w14:paraId="6B9E7A1E" w14:textId="77777777" w:rsidR="00AA354C" w:rsidRPr="00AA354C" w:rsidRDefault="00AA354C" w:rsidP="009C4E71">
                            <w:pPr>
                              <w:pStyle w:val="NoSpacing"/>
                              <w:spacing w:line="360" w:lineRule="auto"/>
                              <w:jc w:val="center"/>
                              <w:rPr>
                                <w:rFonts w:eastAsia="Arial Unicode MS"/>
                                <w:szCs w:val="22"/>
                              </w:rPr>
                            </w:pPr>
                            <w:r w:rsidRPr="00AA354C">
                              <w:rPr>
                                <w:rFonts w:eastAsia="Arial Unicode MS"/>
                                <w:szCs w:val="22"/>
                              </w:rPr>
                              <w:t>HbA1c requests for diabetes monitoring received within 60 days of a previous valid result will be rejected.  The report will show the previous result and date of collection.</w:t>
                            </w:r>
                          </w:p>
                          <w:p w14:paraId="39BFD479" w14:textId="77777777" w:rsidR="00AA354C" w:rsidRDefault="00AA354C" w:rsidP="009C4E7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6FC1E" id="_x0000_t202" coordsize="21600,21600" o:spt="202" path="m,l,21600r21600,l21600,xe">
                <v:stroke joinstyle="miter"/>
                <v:path gradientshapeok="t" o:connecttype="rect"/>
              </v:shapetype>
              <v:shape id="Text Box 2" o:spid="_x0000_s1026" type="#_x0000_t202" style="position:absolute;left:0;text-align:left;margin-left:0;margin-top:3.5pt;width:451.5pt;height:14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" fillcolor="#903">
                <v:textbox>
                  <w:txbxContent>
                    <w:p w14:paraId="6F29CA36" w14:textId="77777777" w:rsidR="00AA354C" w:rsidRPr="009C4E71" w:rsidRDefault="00AA354C" w:rsidP="009C4E71">
                      <w:pPr>
                        <w:pStyle w:val="NoSpacing"/>
                        <w:spacing w:line="360" w:lineRule="auto"/>
                        <w:jc w:val="center"/>
                        <w:rPr>
                          <w:rFonts w:eastAsia="Arial Unicode MS"/>
                          <w:b/>
                          <w:u w:val="single"/>
                          <w:lang w:eastAsia="en-GB"/>
                        </w:rPr>
                      </w:pPr>
                      <w:r w:rsidRPr="009C4E71">
                        <w:rPr>
                          <w:rFonts w:eastAsia="Arial Unicode MS"/>
                          <w:b/>
                          <w:u w:val="single"/>
                          <w:lang w:eastAsia="en-GB"/>
                        </w:rPr>
                        <w:t>Frequency of measurement</w:t>
                      </w:r>
                    </w:p>
                    <w:p w14:paraId="313F7CAB" w14:textId="77777777" w:rsidR="00A000CF" w:rsidRDefault="00AA354C" w:rsidP="009C4E71">
                      <w:pPr>
                        <w:pStyle w:val="NoSpacing"/>
                        <w:spacing w:line="360" w:lineRule="auto"/>
                        <w:jc w:val="center"/>
                        <w:rPr>
                          <w:rFonts w:eastAsia="Arial Unicode MS"/>
                          <w:szCs w:val="22"/>
                        </w:rPr>
                      </w:pPr>
                      <w:r w:rsidRPr="00AA354C">
                        <w:rPr>
                          <w:rFonts w:eastAsia="Arial Unicode MS"/>
                          <w:szCs w:val="22"/>
                          <w:lang w:eastAsia="en-GB"/>
                        </w:rPr>
                        <w:t xml:space="preserve">HbA1c measures glucose bound to haemoglobin and it provides an indication of </w:t>
                      </w:r>
                      <w:r w:rsidRPr="00AA354C">
                        <w:rPr>
                          <w:rFonts w:eastAsia="Arial Unicode MS"/>
                          <w:szCs w:val="22"/>
                          <w:lang w:val="en"/>
                        </w:rPr>
                        <w:t xml:space="preserve">the average level </w:t>
                      </w:r>
                      <w:r w:rsidR="00A000CF">
                        <w:rPr>
                          <w:rFonts w:eastAsia="Arial Unicode MS"/>
                          <w:szCs w:val="22"/>
                          <w:lang w:val="en"/>
                        </w:rPr>
                        <w:t>of blood glucose during the previous</w:t>
                      </w:r>
                      <w:r w:rsidRPr="00AA354C">
                        <w:rPr>
                          <w:rFonts w:eastAsia="Arial Unicode MS"/>
                          <w:szCs w:val="22"/>
                          <w:lang w:val="en"/>
                        </w:rPr>
                        <w:t xml:space="preserve"> 2-3 months (the lifespan of a typical </w:t>
                      </w:r>
                      <w:proofErr w:type="spellStart"/>
                      <w:r w:rsidRPr="00AA354C">
                        <w:rPr>
                          <w:rFonts w:eastAsia="Arial Unicode MS"/>
                          <w:szCs w:val="22"/>
                          <w:lang w:val="en"/>
                        </w:rPr>
                        <w:t>haemoglobin</w:t>
                      </w:r>
                      <w:proofErr w:type="spellEnd"/>
                      <w:r w:rsidRPr="00AA354C">
                        <w:rPr>
                          <w:rFonts w:eastAsia="Arial Unicode MS"/>
                          <w:szCs w:val="22"/>
                          <w:lang w:val="en"/>
                        </w:rPr>
                        <w:t xml:space="preserve"> molecule)</w:t>
                      </w:r>
                      <w:r w:rsidRPr="00AA354C">
                        <w:rPr>
                          <w:rFonts w:eastAsia="Arial Unicode MS"/>
                          <w:szCs w:val="22"/>
                        </w:rPr>
                        <w:t>.  Therefore re-checking HbA1c levels within 90 days of a change in diabetes management will not fully reflect the impact of the change.</w:t>
                      </w:r>
                      <w:r w:rsidRPr="00AA354C">
                        <w:rPr>
                          <w:rStyle w:val="EndnoteReference"/>
                          <w:rFonts w:ascii="Arial Unicode MS" w:eastAsia="Arial Unicode MS" w:hAnsi="Arial Unicode MS" w:cs="Arial Unicode MS"/>
                          <w:color w:val="FFFFFF"/>
                          <w:szCs w:val="22"/>
                        </w:rPr>
                        <w:t>$</w:t>
                      </w:r>
                      <w:r w:rsidRPr="00AA354C">
                        <w:rPr>
                          <w:rFonts w:eastAsia="Arial Unicode MS"/>
                          <w:szCs w:val="22"/>
                        </w:rPr>
                        <w:t xml:space="preserve">  </w:t>
                      </w:r>
                    </w:p>
                    <w:p w14:paraId="6B9E7A1E" w14:textId="77777777" w:rsidR="00AA354C" w:rsidRPr="00AA354C" w:rsidRDefault="00AA354C" w:rsidP="009C4E71">
                      <w:pPr>
                        <w:pStyle w:val="NoSpacing"/>
                        <w:spacing w:line="360" w:lineRule="auto"/>
                        <w:jc w:val="center"/>
                        <w:rPr>
                          <w:rFonts w:eastAsia="Arial Unicode MS"/>
                          <w:szCs w:val="22"/>
                        </w:rPr>
                      </w:pPr>
                      <w:r w:rsidRPr="00AA354C">
                        <w:rPr>
                          <w:rFonts w:eastAsia="Arial Unicode MS"/>
                          <w:szCs w:val="22"/>
                        </w:rPr>
                        <w:t>HbA1c requests for diabetes monitoring received within 60 days of a previous valid result will be rejected.  The report will show the previous result and date of collection.</w:t>
                      </w:r>
                    </w:p>
                    <w:p w14:paraId="39BFD479" w14:textId="77777777" w:rsidR="00AA354C" w:rsidRDefault="00AA354C" w:rsidP="009C4E71">
                      <w:pPr>
                        <w:jc w:val="center"/>
                      </w:pPr>
                    </w:p>
                  </w:txbxContent>
                </v:textbox>
                <w10:wrap anchorx="margin"/>
              </v:shape>
            </w:pict>
          </mc:Fallback>
        </mc:AlternateContent>
      </w:r>
    </w:p>
    <w:p w14:paraId="425D4E6A" w14:textId="77777777" w:rsidR="00AA354C" w:rsidRPr="007064AE" w:rsidRDefault="00AA354C" w:rsidP="00AA354C">
      <w:pPr>
        <w:autoSpaceDE w:val="0"/>
        <w:autoSpaceDN w:val="0"/>
        <w:adjustRightInd w:val="0"/>
        <w:jc w:val="both"/>
        <w:rPr>
          <w:rFonts w:ascii="Arial Unicode MS" w:eastAsia="Arial Unicode MS" w:hAnsi="Arial Unicode MS" w:cs="Arial Unicode MS"/>
          <w:szCs w:val="22"/>
          <w:lang w:eastAsia="en-GB"/>
        </w:rPr>
      </w:pPr>
    </w:p>
    <w:p w14:paraId="10960144" w14:textId="77777777" w:rsidR="00AA354C" w:rsidRDefault="00AA354C" w:rsidP="00AA354C">
      <w:pPr>
        <w:autoSpaceDE w:val="0"/>
        <w:autoSpaceDN w:val="0"/>
        <w:adjustRightInd w:val="0"/>
        <w:jc w:val="both"/>
        <w:rPr>
          <w:rFonts w:ascii="Arial Unicode MS" w:eastAsia="Arial Unicode MS" w:hAnsi="Arial Unicode MS" w:cs="Arial Unicode MS"/>
          <w:szCs w:val="22"/>
          <w:lang w:eastAsia="en-GB"/>
        </w:rPr>
      </w:pPr>
    </w:p>
    <w:p w14:paraId="65BB4F7D" w14:textId="77777777" w:rsidR="00AA354C" w:rsidRDefault="00AA354C" w:rsidP="00AA354C">
      <w:pPr>
        <w:autoSpaceDE w:val="0"/>
        <w:autoSpaceDN w:val="0"/>
        <w:adjustRightInd w:val="0"/>
        <w:jc w:val="both"/>
        <w:rPr>
          <w:rFonts w:ascii="Arial Unicode MS" w:eastAsia="Arial Unicode MS" w:hAnsi="Arial Unicode MS" w:cs="Arial Unicode MS"/>
          <w:szCs w:val="22"/>
          <w:lang w:eastAsia="en-GB"/>
        </w:rPr>
      </w:pPr>
    </w:p>
    <w:p w14:paraId="5DE55AAE" w14:textId="77777777" w:rsidR="00AA354C" w:rsidRDefault="00AA354C" w:rsidP="00AA354C">
      <w:pPr>
        <w:autoSpaceDE w:val="0"/>
        <w:autoSpaceDN w:val="0"/>
        <w:adjustRightInd w:val="0"/>
        <w:jc w:val="both"/>
        <w:rPr>
          <w:rFonts w:ascii="Arial Unicode MS" w:eastAsia="Arial Unicode MS" w:hAnsi="Arial Unicode MS" w:cs="Arial Unicode MS"/>
          <w:szCs w:val="22"/>
          <w:lang w:eastAsia="en-GB"/>
        </w:rPr>
      </w:pPr>
    </w:p>
    <w:p w14:paraId="42D4B11C" w14:textId="77777777" w:rsidR="00AA354C" w:rsidRDefault="00AA354C" w:rsidP="00AA354C">
      <w:pPr>
        <w:autoSpaceDE w:val="0"/>
        <w:autoSpaceDN w:val="0"/>
        <w:adjustRightInd w:val="0"/>
        <w:jc w:val="both"/>
        <w:rPr>
          <w:rFonts w:ascii="Arial Unicode MS" w:eastAsia="Arial Unicode MS" w:hAnsi="Arial Unicode MS" w:cs="Arial Unicode MS"/>
          <w:szCs w:val="22"/>
          <w:lang w:eastAsia="en-GB"/>
        </w:rPr>
      </w:pPr>
    </w:p>
    <w:p w14:paraId="749B4839" w14:textId="77777777" w:rsidR="00AA354C" w:rsidRPr="003243C5" w:rsidRDefault="009C4E71" w:rsidP="00AA354C">
      <w:pPr>
        <w:autoSpaceDE w:val="0"/>
        <w:autoSpaceDN w:val="0"/>
        <w:adjustRightInd w:val="0"/>
        <w:rPr>
          <w:rFonts w:ascii="Arial Unicode MS" w:eastAsia="Arial Unicode MS" w:hAnsi="Arial Unicode MS" w:cs="Arial Unicode MS"/>
          <w:b/>
          <w:color w:val="C00000"/>
          <w:sz w:val="12"/>
          <w:szCs w:val="22"/>
          <w:lang w:val="en"/>
        </w:rPr>
      </w:pPr>
      <w:r w:rsidRPr="009C4E71">
        <w:rPr>
          <w:rFonts w:eastAsia="Arial Unicode MS"/>
          <w:b/>
          <w:noProof/>
          <w:color w:val="990033"/>
          <w:u w:val="single"/>
          <w:lang w:eastAsia="en-GB"/>
        </w:rPr>
        <mc:AlternateContent>
          <mc:Choice Requires="wps">
            <w:drawing>
              <wp:anchor distT="0" distB="0" distL="114300" distR="114300" simplePos="0" relativeHeight="251662336" behindDoc="0" locked="0" layoutInCell="1" allowOverlap="1" wp14:anchorId="42EEF73E" wp14:editId="648FD266">
                <wp:simplePos x="0" y="0"/>
                <wp:positionH relativeFrom="column">
                  <wp:posOffset>186359</wp:posOffset>
                </wp:positionH>
                <wp:positionV relativeFrom="paragraph">
                  <wp:posOffset>176475</wp:posOffset>
                </wp:positionV>
                <wp:extent cx="5734050" cy="596348"/>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6348"/>
                        </a:xfrm>
                        <a:prstGeom prst="rect">
                          <a:avLst/>
                        </a:prstGeom>
                        <a:solidFill>
                          <a:srgbClr val="FFFFFF"/>
                        </a:solidFill>
                        <a:ln w="9525">
                          <a:solidFill>
                            <a:srgbClr val="990033"/>
                          </a:solidFill>
                          <a:miter lim="800000"/>
                          <a:headEnd/>
                          <a:tailEnd/>
                        </a:ln>
                      </wps:spPr>
                      <wps:txbx>
                        <w:txbxContent>
                          <w:p w14:paraId="3196895E" w14:textId="77777777" w:rsidR="009C4E71" w:rsidRPr="003B7CD9" w:rsidRDefault="009C4E71" w:rsidP="009C4E71">
                            <w:pPr>
                              <w:pStyle w:val="NoSpacing"/>
                              <w:rPr>
                                <w:color w:val="990033"/>
                                <w:sz w:val="16"/>
                                <w:szCs w:val="16"/>
                              </w:rPr>
                            </w:pPr>
                            <w:r w:rsidRPr="003B7CD9">
                              <w:rPr>
                                <w:rStyle w:val="EndnoteReference"/>
                                <w:color w:val="990033"/>
                                <w:sz w:val="16"/>
                                <w:szCs w:val="16"/>
                              </w:rPr>
                              <w:t>$</w:t>
                            </w:r>
                            <w:r w:rsidRPr="003B7CD9">
                              <w:rPr>
                                <w:color w:val="990033"/>
                                <w:sz w:val="16"/>
                                <w:szCs w:val="16"/>
                              </w:rPr>
                              <w:t xml:space="preserve"> Type 1 diabetes in adults, NICE NG</w:t>
                            </w:r>
                            <w:proofErr w:type="gramStart"/>
                            <w:r w:rsidRPr="003B7CD9">
                              <w:rPr>
                                <w:color w:val="990033"/>
                                <w:sz w:val="16"/>
                                <w:szCs w:val="16"/>
                              </w:rPr>
                              <w:t>17:Measure</w:t>
                            </w:r>
                            <w:proofErr w:type="gramEnd"/>
                            <w:r w:rsidRPr="003B7CD9">
                              <w:rPr>
                                <w:color w:val="990033"/>
                                <w:sz w:val="16"/>
                                <w:szCs w:val="16"/>
                              </w:rPr>
                              <w:t xml:space="preserve"> HbA1c levels every 3–6 months</w:t>
                            </w:r>
                          </w:p>
                          <w:p w14:paraId="7720BA3B" w14:textId="77777777" w:rsidR="009C4E71" w:rsidRPr="003B7CD9" w:rsidRDefault="009C4E71" w:rsidP="009C4E71">
                            <w:pPr>
                              <w:pStyle w:val="NoSpacing"/>
                              <w:rPr>
                                <w:color w:val="990033"/>
                                <w:sz w:val="16"/>
                                <w:szCs w:val="16"/>
                              </w:rPr>
                            </w:pPr>
                            <w:r>
                              <w:rPr>
                                <w:color w:val="990033"/>
                                <w:sz w:val="16"/>
                                <w:szCs w:val="16"/>
                              </w:rPr>
                              <w:t xml:space="preserve">  </w:t>
                            </w:r>
                            <w:r w:rsidRPr="003B7CD9">
                              <w:rPr>
                                <w:color w:val="990033"/>
                                <w:sz w:val="16"/>
                                <w:szCs w:val="16"/>
                              </w:rPr>
                              <w:t xml:space="preserve">Type 2 diabetes in adults, NICE NG28: Measure HbA1c levels at: </w:t>
                            </w:r>
                          </w:p>
                          <w:p w14:paraId="3D955688" w14:textId="77777777" w:rsidR="009C4E71" w:rsidRPr="003B7CD9" w:rsidRDefault="009C4E71" w:rsidP="009C4E71">
                            <w:pPr>
                              <w:pStyle w:val="NoSpacing"/>
                              <w:rPr>
                                <w:color w:val="990033"/>
                                <w:sz w:val="16"/>
                                <w:szCs w:val="16"/>
                              </w:rPr>
                            </w:pPr>
                            <w:r>
                              <w:rPr>
                                <w:color w:val="990033"/>
                                <w:sz w:val="16"/>
                                <w:szCs w:val="16"/>
                              </w:rPr>
                              <w:t xml:space="preserve">      </w:t>
                            </w:r>
                            <w:r w:rsidRPr="003B7CD9">
                              <w:rPr>
                                <w:color w:val="990033"/>
                                <w:sz w:val="16"/>
                                <w:szCs w:val="16"/>
                              </w:rPr>
                              <w:t xml:space="preserve">3–6-monthly intervals (tailored to individual needs) until the HbA1c is stable on unchanging therapy </w:t>
                            </w:r>
                          </w:p>
                          <w:p w14:paraId="252564DE" w14:textId="77777777" w:rsidR="009C4E71" w:rsidRPr="009C4E71" w:rsidRDefault="009C4E71" w:rsidP="009C4E71">
                            <w:pPr>
                              <w:pStyle w:val="NoSpacing"/>
                              <w:rPr>
                                <w:color w:val="990033"/>
                                <w:sz w:val="16"/>
                                <w:szCs w:val="16"/>
                              </w:rPr>
                            </w:pPr>
                            <w:r>
                              <w:rPr>
                                <w:color w:val="990033"/>
                                <w:sz w:val="16"/>
                                <w:szCs w:val="16"/>
                              </w:rPr>
                              <w:t xml:space="preserve">      </w:t>
                            </w:r>
                            <w:r w:rsidRPr="003B7CD9">
                              <w:rPr>
                                <w:color w:val="990033"/>
                                <w:sz w:val="16"/>
                                <w:szCs w:val="16"/>
                              </w:rPr>
                              <w:t xml:space="preserve">6-monthly intervals once the HbA1c level and blood glucose lowering therapy are stable. </w:t>
                            </w:r>
                          </w:p>
                          <w:p w14:paraId="269B5ABD" w14:textId="77777777" w:rsidR="009C4E71" w:rsidRDefault="009C4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EF73E" id="_x0000_s1027" type="#_x0000_t202" style="position:absolute;margin-left:14.65pt;margin-top:13.9pt;width:451.5pt;height:4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" strokecolor="#903">
                <v:textbox>
                  <w:txbxContent>
                    <w:p w14:paraId="3196895E" w14:textId="77777777" w:rsidR="009C4E71" w:rsidRPr="003B7CD9" w:rsidRDefault="009C4E71" w:rsidP="009C4E71">
                      <w:pPr>
                        <w:pStyle w:val="NoSpacing"/>
                        <w:rPr>
                          <w:color w:val="990033"/>
                          <w:sz w:val="16"/>
                          <w:szCs w:val="16"/>
                        </w:rPr>
                      </w:pPr>
                      <w:r w:rsidRPr="003B7CD9">
                        <w:rPr>
                          <w:rStyle w:val="EndnoteReference"/>
                          <w:color w:val="990033"/>
                          <w:sz w:val="16"/>
                          <w:szCs w:val="16"/>
                        </w:rPr>
                        <w:t>$</w:t>
                      </w:r>
                      <w:r w:rsidRPr="003B7CD9">
                        <w:rPr>
                          <w:color w:val="990033"/>
                          <w:sz w:val="16"/>
                          <w:szCs w:val="16"/>
                        </w:rPr>
                        <w:t xml:space="preserve"> Type 1 diabetes in adults, NICE NG</w:t>
                      </w:r>
                      <w:proofErr w:type="gramStart"/>
                      <w:r w:rsidRPr="003B7CD9">
                        <w:rPr>
                          <w:color w:val="990033"/>
                          <w:sz w:val="16"/>
                          <w:szCs w:val="16"/>
                        </w:rPr>
                        <w:t>17:Measure</w:t>
                      </w:r>
                      <w:proofErr w:type="gramEnd"/>
                      <w:r w:rsidRPr="003B7CD9">
                        <w:rPr>
                          <w:color w:val="990033"/>
                          <w:sz w:val="16"/>
                          <w:szCs w:val="16"/>
                        </w:rPr>
                        <w:t xml:space="preserve"> HbA1c levels every 3–6 months</w:t>
                      </w:r>
                    </w:p>
                    <w:p w14:paraId="7720BA3B" w14:textId="77777777" w:rsidR="009C4E71" w:rsidRPr="003B7CD9" w:rsidRDefault="009C4E71" w:rsidP="009C4E71">
                      <w:pPr>
                        <w:pStyle w:val="NoSpacing"/>
                        <w:rPr>
                          <w:color w:val="990033"/>
                          <w:sz w:val="16"/>
                          <w:szCs w:val="16"/>
                        </w:rPr>
                      </w:pPr>
                      <w:r>
                        <w:rPr>
                          <w:color w:val="990033"/>
                          <w:sz w:val="16"/>
                          <w:szCs w:val="16"/>
                        </w:rPr>
                        <w:t xml:space="preserve">  </w:t>
                      </w:r>
                      <w:r w:rsidRPr="003B7CD9">
                        <w:rPr>
                          <w:color w:val="990033"/>
                          <w:sz w:val="16"/>
                          <w:szCs w:val="16"/>
                        </w:rPr>
                        <w:t xml:space="preserve">Type 2 diabetes in adults, NICE NG28: Measure HbA1c levels at: </w:t>
                      </w:r>
                    </w:p>
                    <w:p w14:paraId="3D955688" w14:textId="77777777" w:rsidR="009C4E71" w:rsidRPr="003B7CD9" w:rsidRDefault="009C4E71" w:rsidP="009C4E71">
                      <w:pPr>
                        <w:pStyle w:val="NoSpacing"/>
                        <w:rPr>
                          <w:color w:val="990033"/>
                          <w:sz w:val="16"/>
                          <w:szCs w:val="16"/>
                        </w:rPr>
                      </w:pPr>
                      <w:r>
                        <w:rPr>
                          <w:color w:val="990033"/>
                          <w:sz w:val="16"/>
                          <w:szCs w:val="16"/>
                        </w:rPr>
                        <w:t xml:space="preserve">      </w:t>
                      </w:r>
                      <w:r w:rsidRPr="003B7CD9">
                        <w:rPr>
                          <w:color w:val="990033"/>
                          <w:sz w:val="16"/>
                          <w:szCs w:val="16"/>
                        </w:rPr>
                        <w:t xml:space="preserve">3–6-monthly intervals (tailored to individual needs) until the HbA1c is stable on unchanging therapy </w:t>
                      </w:r>
                    </w:p>
                    <w:p w14:paraId="252564DE" w14:textId="77777777" w:rsidR="009C4E71" w:rsidRPr="009C4E71" w:rsidRDefault="009C4E71" w:rsidP="009C4E71">
                      <w:pPr>
                        <w:pStyle w:val="NoSpacing"/>
                        <w:rPr>
                          <w:color w:val="990033"/>
                          <w:sz w:val="16"/>
                          <w:szCs w:val="16"/>
                        </w:rPr>
                      </w:pPr>
                      <w:r>
                        <w:rPr>
                          <w:color w:val="990033"/>
                          <w:sz w:val="16"/>
                          <w:szCs w:val="16"/>
                        </w:rPr>
                        <w:t xml:space="preserve">      </w:t>
                      </w:r>
                      <w:r w:rsidRPr="003B7CD9">
                        <w:rPr>
                          <w:color w:val="990033"/>
                          <w:sz w:val="16"/>
                          <w:szCs w:val="16"/>
                        </w:rPr>
                        <w:t xml:space="preserve">6-monthly intervals once the HbA1c level and blood glucose lowering therapy are stable. </w:t>
                      </w:r>
                    </w:p>
                    <w:p w14:paraId="269B5ABD" w14:textId="77777777" w:rsidR="009C4E71" w:rsidRDefault="009C4E71"/>
                  </w:txbxContent>
                </v:textbox>
              </v:shape>
            </w:pict>
          </mc:Fallback>
        </mc:AlternateContent>
      </w:r>
    </w:p>
    <w:p w14:paraId="042EB6BC" w14:textId="77777777" w:rsidR="009C4E71" w:rsidRDefault="009C4E71" w:rsidP="009C4E71">
      <w:pPr>
        <w:pStyle w:val="NoSpacing"/>
        <w:spacing w:before="240" w:line="360" w:lineRule="auto"/>
        <w:rPr>
          <w:rFonts w:eastAsia="Arial Unicode MS"/>
          <w:b/>
          <w:color w:val="990033"/>
          <w:u w:val="single"/>
          <w:lang w:val="en"/>
        </w:rPr>
      </w:pPr>
    </w:p>
    <w:p w14:paraId="0F24FFE0" w14:textId="77777777" w:rsidR="009C4E71" w:rsidRDefault="009C4E71" w:rsidP="009C4E71">
      <w:pPr>
        <w:pStyle w:val="NoSpacing"/>
        <w:spacing w:before="240" w:line="360" w:lineRule="auto"/>
        <w:rPr>
          <w:rFonts w:eastAsia="Arial Unicode MS"/>
          <w:b/>
          <w:color w:val="990033"/>
          <w:u w:val="single"/>
          <w:lang w:val="en"/>
        </w:rPr>
      </w:pPr>
    </w:p>
    <w:p w14:paraId="1978E2FC" w14:textId="77777777" w:rsidR="00AA354C" w:rsidRPr="003B7CD9" w:rsidRDefault="00AA354C" w:rsidP="009C4E71">
      <w:pPr>
        <w:pStyle w:val="NoSpacing"/>
        <w:spacing w:before="240" w:line="360" w:lineRule="auto"/>
        <w:rPr>
          <w:rFonts w:eastAsia="Arial Unicode MS"/>
          <w:b/>
          <w:color w:val="990033"/>
          <w:u w:val="single"/>
          <w:lang w:val="en"/>
        </w:rPr>
      </w:pPr>
      <w:r w:rsidRPr="003B7CD9">
        <w:rPr>
          <w:rFonts w:eastAsia="Arial Unicode MS"/>
          <w:b/>
          <w:color w:val="990033"/>
          <w:u w:val="single"/>
          <w:lang w:val="en"/>
        </w:rPr>
        <w:t>When is HbA1c not reliable?</w:t>
      </w:r>
    </w:p>
    <w:p w14:paraId="4DA89046" w14:textId="77777777" w:rsidR="00AA354C" w:rsidRPr="003243C5" w:rsidRDefault="00AA354C" w:rsidP="003B7CD9">
      <w:pPr>
        <w:pStyle w:val="NoSpacing"/>
        <w:spacing w:line="360" w:lineRule="auto"/>
        <w:jc w:val="both"/>
        <w:rPr>
          <w:rFonts w:eastAsia="Arial Unicode MS"/>
          <w:lang w:val="en"/>
        </w:rPr>
      </w:pPr>
      <w:r w:rsidRPr="007064AE">
        <w:rPr>
          <w:rFonts w:eastAsia="Arial Unicode MS"/>
          <w:lang w:val="en"/>
        </w:rPr>
        <w:t xml:space="preserve">HbA1c values in patients with disturbed erythrocyte turnover, or abnormal </w:t>
      </w:r>
      <w:proofErr w:type="spellStart"/>
      <w:r w:rsidRPr="007064AE">
        <w:rPr>
          <w:rFonts w:eastAsia="Arial Unicode MS"/>
          <w:lang w:val="en"/>
        </w:rPr>
        <w:t>haemoglobin</w:t>
      </w:r>
      <w:proofErr w:type="spellEnd"/>
      <w:r w:rsidRPr="007064AE">
        <w:rPr>
          <w:rFonts w:eastAsia="Arial Unicode MS"/>
          <w:lang w:val="en"/>
        </w:rPr>
        <w:t xml:space="preserve"> type may not correlate with </w:t>
      </w:r>
      <w:proofErr w:type="spellStart"/>
      <w:r w:rsidRPr="007064AE">
        <w:rPr>
          <w:rFonts w:eastAsia="Arial Unicode MS"/>
          <w:lang w:val="en"/>
        </w:rPr>
        <w:t>glycaemic</w:t>
      </w:r>
      <w:proofErr w:type="spellEnd"/>
      <w:r w:rsidRPr="007064AE">
        <w:rPr>
          <w:rFonts w:eastAsia="Arial Unicode MS"/>
          <w:lang w:val="en"/>
        </w:rPr>
        <w:t xml:space="preserve"> control (see table).</w:t>
      </w:r>
      <w:r>
        <w:rPr>
          <w:rFonts w:eastAsia="Arial Unicode MS"/>
          <w:lang w:val="en"/>
        </w:rPr>
        <w:t xml:space="preserve"> </w:t>
      </w:r>
      <w:r w:rsidRPr="007064AE">
        <w:rPr>
          <w:rFonts w:eastAsia="Arial Unicode MS"/>
          <w:lang w:eastAsia="en-GB"/>
        </w:rPr>
        <w:t xml:space="preserve">HbA1c measurement performed in the labs at </w:t>
      </w:r>
      <w:r w:rsidRPr="007064AE">
        <w:rPr>
          <w:rFonts w:eastAsia="Arial Unicode MS"/>
          <w:lang w:val="en"/>
        </w:rPr>
        <w:t xml:space="preserve">York and Scarborough Blood Sciences Laboratories can be used to </w:t>
      </w:r>
      <w:r w:rsidRPr="007064AE">
        <w:rPr>
          <w:rFonts w:eastAsia="Arial Unicode MS"/>
          <w:i/>
          <w:lang w:val="en"/>
        </w:rPr>
        <w:t>monitor</w:t>
      </w:r>
      <w:r w:rsidRPr="007064AE">
        <w:rPr>
          <w:rFonts w:eastAsia="Arial Unicode MS"/>
          <w:lang w:val="en"/>
        </w:rPr>
        <w:t xml:space="preserve"> HbA1c levels in patients who are heterozygous (carriers) for variant hemoglobin, such as </w:t>
      </w:r>
      <w:proofErr w:type="spellStart"/>
      <w:r w:rsidRPr="007064AE">
        <w:rPr>
          <w:rFonts w:eastAsia="Arial Unicode MS"/>
          <w:lang w:val="en"/>
        </w:rPr>
        <w:t>HbS</w:t>
      </w:r>
      <w:proofErr w:type="spellEnd"/>
      <w:r w:rsidRPr="007064AE">
        <w:rPr>
          <w:rFonts w:eastAsia="Arial Unicode MS"/>
          <w:lang w:val="en"/>
        </w:rPr>
        <w:t xml:space="preserve">, </w:t>
      </w:r>
      <w:proofErr w:type="spellStart"/>
      <w:r w:rsidRPr="007064AE">
        <w:rPr>
          <w:rFonts w:eastAsia="Arial Unicode MS"/>
          <w:lang w:val="en"/>
        </w:rPr>
        <w:t>HbD</w:t>
      </w:r>
      <w:proofErr w:type="spellEnd"/>
      <w:r w:rsidRPr="007064AE">
        <w:rPr>
          <w:rFonts w:eastAsia="Arial Unicode MS"/>
          <w:lang w:val="en"/>
        </w:rPr>
        <w:t xml:space="preserve"> or </w:t>
      </w:r>
      <w:proofErr w:type="spellStart"/>
      <w:r w:rsidRPr="007064AE">
        <w:rPr>
          <w:rFonts w:eastAsia="Arial Unicode MS"/>
          <w:lang w:val="en"/>
        </w:rPr>
        <w:t>HbC</w:t>
      </w:r>
      <w:proofErr w:type="spellEnd"/>
      <w:r w:rsidRPr="007064AE">
        <w:rPr>
          <w:rFonts w:eastAsia="Arial Unicode MS"/>
          <w:lang w:val="en"/>
        </w:rPr>
        <w:t>, as t</w:t>
      </w:r>
      <w:r w:rsidRPr="007064AE">
        <w:rPr>
          <w:rFonts w:eastAsia="Arial Unicode MS"/>
          <w:lang w:eastAsia="en-GB"/>
        </w:rPr>
        <w:t>he effect of the abnormal haemoglobin is usually consistent over time.  Please be aware that treatment targets may vary from national guidance in these patients.  A comm</w:t>
      </w:r>
      <w:r>
        <w:rPr>
          <w:rFonts w:eastAsia="Arial Unicode MS"/>
          <w:lang w:eastAsia="en-GB"/>
        </w:rPr>
        <w:t>ent will be added to the report.</w:t>
      </w:r>
    </w:p>
    <w:p w14:paraId="56B3A625" w14:textId="77777777" w:rsidR="003B7CD9" w:rsidRDefault="003B7CD9" w:rsidP="003B7CD9">
      <w:pPr>
        <w:pStyle w:val="NoSpacing"/>
        <w:spacing w:line="360" w:lineRule="auto"/>
        <w:rPr>
          <w:rFonts w:eastAsia="Arial Unicode MS"/>
          <w:lang w:eastAsia="en-GB"/>
        </w:rPr>
      </w:pPr>
    </w:p>
    <w:p w14:paraId="44F9B5AE" w14:textId="77777777" w:rsidR="00AA354C" w:rsidRPr="003B7CD9" w:rsidRDefault="00AA354C" w:rsidP="003B7CD9">
      <w:pPr>
        <w:pStyle w:val="NoSpacing"/>
        <w:spacing w:line="360" w:lineRule="auto"/>
        <w:rPr>
          <w:rFonts w:eastAsia="Arial Unicode MS"/>
          <w:b/>
          <w:i/>
          <w:color w:val="990033"/>
          <w:lang w:eastAsia="en-GB"/>
        </w:rPr>
      </w:pPr>
      <w:r w:rsidRPr="003B7CD9">
        <w:rPr>
          <w:rFonts w:eastAsia="Arial Unicode MS"/>
          <w:b/>
          <w:i/>
          <w:color w:val="990033"/>
          <w:lang w:eastAsia="en-GB"/>
        </w:rPr>
        <w:t>Alternatives to measuring HbA1c in diabetic patients with abnormal haemoglobin or invalid HbA1c results</w:t>
      </w:r>
    </w:p>
    <w:p w14:paraId="3ABB9EB1" w14:textId="77777777" w:rsidR="00AA354C" w:rsidRPr="003243C5" w:rsidRDefault="00AA354C" w:rsidP="003B7CD9">
      <w:pPr>
        <w:pStyle w:val="NoSpacing"/>
        <w:spacing w:line="360" w:lineRule="auto"/>
        <w:jc w:val="both"/>
        <w:rPr>
          <w:rFonts w:eastAsia="Arial Unicode MS"/>
          <w:lang w:val="en"/>
        </w:rPr>
      </w:pPr>
      <w:r w:rsidRPr="003243C5">
        <w:rPr>
          <w:rFonts w:eastAsia="Arial Unicode MS"/>
          <w:lang w:val="en"/>
        </w:rPr>
        <w:t xml:space="preserve">An analytically valid HbA1c result cannot be generated for all </w:t>
      </w:r>
      <w:proofErr w:type="spellStart"/>
      <w:r w:rsidRPr="003243C5">
        <w:rPr>
          <w:rFonts w:eastAsia="Arial Unicode MS"/>
          <w:lang w:val="en"/>
        </w:rPr>
        <w:t>haemoglobin</w:t>
      </w:r>
      <w:proofErr w:type="spellEnd"/>
      <w:r w:rsidRPr="003243C5">
        <w:rPr>
          <w:rFonts w:eastAsia="Arial Unicode MS"/>
          <w:lang w:val="en"/>
        </w:rPr>
        <w:t xml:space="preserve"> variants, and in these situations, an alternative HbA1c (</w:t>
      </w:r>
      <w:r w:rsidRPr="003B7CD9">
        <w:rPr>
          <w:rFonts w:eastAsia="Arial Unicode MS"/>
          <w:i/>
          <w:color w:val="990033"/>
          <w:lang w:val="en"/>
        </w:rPr>
        <w:t xml:space="preserve">total glycated </w:t>
      </w:r>
      <w:proofErr w:type="spellStart"/>
      <w:r w:rsidRPr="003B7CD9">
        <w:rPr>
          <w:rFonts w:eastAsia="Arial Unicode MS"/>
          <w:i/>
          <w:color w:val="990033"/>
          <w:lang w:val="en"/>
        </w:rPr>
        <w:t>haemoglobin</w:t>
      </w:r>
      <w:proofErr w:type="spellEnd"/>
      <w:r w:rsidRPr="003243C5">
        <w:rPr>
          <w:rFonts w:eastAsia="Arial Unicode MS"/>
          <w:lang w:val="en"/>
        </w:rPr>
        <w:t>) method can be used.  The laboratory will usually identify the</w:t>
      </w:r>
      <w:r w:rsidR="00A000CF">
        <w:rPr>
          <w:rFonts w:eastAsia="Arial Unicode MS"/>
          <w:lang w:val="en"/>
        </w:rPr>
        <w:t xml:space="preserve">se patients and send the sample </w:t>
      </w:r>
      <w:r w:rsidRPr="003243C5">
        <w:rPr>
          <w:rFonts w:eastAsia="Arial Unicode MS"/>
          <w:lang w:val="en"/>
        </w:rPr>
        <w:t>to an alternative laboratory for measurement.  Results will be reported back to you and a comment added to the report.</w:t>
      </w:r>
    </w:p>
    <w:p w14:paraId="4AC3B4E8" w14:textId="77777777" w:rsidR="00AA354C" w:rsidRPr="003243C5" w:rsidRDefault="00AA354C" w:rsidP="003B7CD9">
      <w:pPr>
        <w:pStyle w:val="NoSpacing"/>
        <w:spacing w:line="360" w:lineRule="auto"/>
        <w:jc w:val="both"/>
        <w:rPr>
          <w:rFonts w:eastAsia="Arial Unicode MS"/>
          <w:sz w:val="12"/>
          <w:lang w:val="en"/>
        </w:rPr>
      </w:pPr>
    </w:p>
    <w:p w14:paraId="5100027F" w14:textId="77777777" w:rsidR="00AA354C" w:rsidRPr="003243C5" w:rsidRDefault="00AA354C" w:rsidP="003B7CD9">
      <w:pPr>
        <w:pStyle w:val="NoSpacing"/>
        <w:spacing w:line="360" w:lineRule="auto"/>
        <w:jc w:val="both"/>
        <w:rPr>
          <w:rFonts w:eastAsia="Arial Unicode MS"/>
          <w:lang w:val="en"/>
        </w:rPr>
      </w:pPr>
      <w:r w:rsidRPr="003243C5">
        <w:rPr>
          <w:rFonts w:eastAsia="Arial Unicode MS"/>
          <w:lang w:val="en"/>
        </w:rPr>
        <w:t xml:space="preserve">All HbA1c methods are inappropriate for the assessment of glycemic control in patients who are homozygous, or compound heterozygotes, for a variant </w:t>
      </w:r>
      <w:proofErr w:type="spellStart"/>
      <w:r w:rsidRPr="003243C5">
        <w:rPr>
          <w:rFonts w:eastAsia="Arial Unicode MS"/>
          <w:lang w:val="en"/>
        </w:rPr>
        <w:t>haemoglobin</w:t>
      </w:r>
      <w:proofErr w:type="spellEnd"/>
      <w:r w:rsidRPr="003243C5">
        <w:rPr>
          <w:rFonts w:eastAsia="Arial Unicode MS"/>
          <w:lang w:val="en"/>
        </w:rPr>
        <w:t>.  This is also true for any other condition that alters erythrocyte survival</w:t>
      </w:r>
      <w:r w:rsidR="00A57BCA">
        <w:rPr>
          <w:rFonts w:eastAsia="Arial Unicode MS"/>
          <w:lang w:val="en"/>
        </w:rPr>
        <w:t xml:space="preserve"> (see table)</w:t>
      </w:r>
      <w:r w:rsidRPr="003243C5">
        <w:rPr>
          <w:rFonts w:eastAsia="Arial Unicode MS"/>
          <w:lang w:val="en"/>
        </w:rPr>
        <w:t xml:space="preserve">.  In these situations, </w:t>
      </w:r>
      <w:proofErr w:type="spellStart"/>
      <w:r w:rsidRPr="003243C5">
        <w:rPr>
          <w:rFonts w:eastAsia="Arial Unicode MS"/>
          <w:lang w:val="en"/>
        </w:rPr>
        <w:t>glycaemic</w:t>
      </w:r>
      <w:proofErr w:type="spellEnd"/>
      <w:r w:rsidRPr="003243C5">
        <w:rPr>
          <w:rFonts w:eastAsia="Arial Unicode MS"/>
          <w:lang w:val="en"/>
        </w:rPr>
        <w:t xml:space="preserve"> control can be monitored using </w:t>
      </w:r>
      <w:proofErr w:type="spellStart"/>
      <w:r w:rsidRPr="003B7CD9">
        <w:rPr>
          <w:rFonts w:eastAsia="Arial Unicode MS"/>
          <w:i/>
          <w:color w:val="990033"/>
          <w:lang w:val="en"/>
        </w:rPr>
        <w:t>fructosamine</w:t>
      </w:r>
      <w:proofErr w:type="spellEnd"/>
      <w:r w:rsidRPr="003B7CD9">
        <w:rPr>
          <w:rFonts w:eastAsia="Arial Unicode MS"/>
          <w:i/>
          <w:color w:val="990033"/>
          <w:lang w:val="en"/>
        </w:rPr>
        <w:t>.</w:t>
      </w:r>
    </w:p>
    <w:p w14:paraId="086C904A" w14:textId="77777777" w:rsidR="00AA354C" w:rsidRPr="003243C5" w:rsidRDefault="00AA354C" w:rsidP="003B7CD9">
      <w:pPr>
        <w:pStyle w:val="NoSpacing"/>
        <w:spacing w:line="360" w:lineRule="auto"/>
        <w:jc w:val="both"/>
        <w:rPr>
          <w:rFonts w:eastAsia="Arial Unicode MS"/>
          <w:i/>
          <w:color w:val="C00000"/>
          <w:sz w:val="12"/>
          <w:lang w:val="en"/>
        </w:rPr>
      </w:pPr>
    </w:p>
    <w:p w14:paraId="47E82BAB" w14:textId="77777777" w:rsidR="00AA354C" w:rsidRPr="007064AE" w:rsidRDefault="00AA354C" w:rsidP="003B7CD9">
      <w:pPr>
        <w:pStyle w:val="NoSpacing"/>
        <w:spacing w:line="360" w:lineRule="auto"/>
        <w:jc w:val="both"/>
        <w:rPr>
          <w:rFonts w:eastAsia="Arial Unicode MS"/>
          <w:lang w:val="en"/>
        </w:rPr>
      </w:pPr>
      <w:proofErr w:type="spellStart"/>
      <w:r w:rsidRPr="003B7CD9">
        <w:rPr>
          <w:rFonts w:eastAsia="Arial Unicode MS"/>
          <w:i/>
          <w:color w:val="990033"/>
          <w:lang w:val="en"/>
        </w:rPr>
        <w:t>Fructosamine</w:t>
      </w:r>
      <w:proofErr w:type="spellEnd"/>
      <w:r w:rsidRPr="003B7CD9">
        <w:rPr>
          <w:rFonts w:eastAsia="Arial Unicode MS"/>
          <w:lang w:val="en"/>
        </w:rPr>
        <w:t xml:space="preserve"> </w:t>
      </w:r>
      <w:r w:rsidRPr="007064AE">
        <w:rPr>
          <w:rFonts w:eastAsia="Arial Unicode MS"/>
          <w:lang w:val="en"/>
        </w:rPr>
        <w:t xml:space="preserve">measures glucose bound to albumin, instead of </w:t>
      </w:r>
      <w:proofErr w:type="spellStart"/>
      <w:r w:rsidRPr="007064AE">
        <w:rPr>
          <w:rFonts w:eastAsia="Arial Unicode MS"/>
          <w:lang w:val="en"/>
        </w:rPr>
        <w:t>haemoglobin</w:t>
      </w:r>
      <w:proofErr w:type="spellEnd"/>
      <w:r w:rsidRPr="007064AE">
        <w:rPr>
          <w:rFonts w:eastAsia="Arial Unicode MS"/>
          <w:lang w:val="en"/>
        </w:rPr>
        <w:t xml:space="preserve">.  It is therefore completely unaffected by any changes in </w:t>
      </w:r>
      <w:proofErr w:type="spellStart"/>
      <w:r w:rsidRPr="007064AE">
        <w:rPr>
          <w:rFonts w:eastAsia="Arial Unicode MS"/>
          <w:lang w:val="en"/>
        </w:rPr>
        <w:t>haemoglobin</w:t>
      </w:r>
      <w:proofErr w:type="spellEnd"/>
      <w:r w:rsidRPr="007064AE">
        <w:rPr>
          <w:rFonts w:eastAsia="Arial Unicode MS"/>
          <w:lang w:val="en"/>
        </w:rPr>
        <w:t xml:space="preserve"> or abnormal forms of </w:t>
      </w:r>
      <w:proofErr w:type="spellStart"/>
      <w:r w:rsidRPr="007064AE">
        <w:rPr>
          <w:rFonts w:eastAsia="Arial Unicode MS"/>
          <w:lang w:val="en"/>
        </w:rPr>
        <w:t>haemoglobin</w:t>
      </w:r>
      <w:proofErr w:type="spellEnd"/>
      <w:r w:rsidRPr="007064AE">
        <w:rPr>
          <w:rFonts w:eastAsia="Arial Unicode MS"/>
          <w:lang w:val="en"/>
        </w:rPr>
        <w:t xml:space="preserve">.  Albumin has a much shorter lifespan than </w:t>
      </w:r>
      <w:proofErr w:type="spellStart"/>
      <w:r w:rsidRPr="007064AE">
        <w:rPr>
          <w:rFonts w:eastAsia="Arial Unicode MS"/>
          <w:lang w:val="en"/>
        </w:rPr>
        <w:t>haemoglobin</w:t>
      </w:r>
      <w:proofErr w:type="spellEnd"/>
      <w:r w:rsidRPr="007064AE">
        <w:rPr>
          <w:rFonts w:eastAsia="Arial Unicode MS"/>
          <w:lang w:val="en"/>
        </w:rPr>
        <w:t xml:space="preserve">, and </w:t>
      </w:r>
      <w:proofErr w:type="spellStart"/>
      <w:r w:rsidRPr="007064AE">
        <w:rPr>
          <w:rFonts w:eastAsia="Arial Unicode MS"/>
          <w:lang w:val="en"/>
        </w:rPr>
        <w:t>fructosamine</w:t>
      </w:r>
      <w:proofErr w:type="spellEnd"/>
      <w:r w:rsidRPr="007064AE">
        <w:rPr>
          <w:rFonts w:eastAsia="Arial Unicode MS"/>
          <w:lang w:val="en"/>
        </w:rPr>
        <w:t xml:space="preserve"> measurement therefore only indicates </w:t>
      </w:r>
      <w:proofErr w:type="spellStart"/>
      <w:r w:rsidRPr="007064AE">
        <w:rPr>
          <w:rFonts w:eastAsia="Arial Unicode MS"/>
          <w:lang w:val="en"/>
        </w:rPr>
        <w:t>glycaemic</w:t>
      </w:r>
      <w:proofErr w:type="spellEnd"/>
      <w:r w:rsidRPr="007064AE">
        <w:rPr>
          <w:rFonts w:eastAsia="Arial Unicode MS"/>
          <w:lang w:val="en"/>
        </w:rPr>
        <w:t xml:space="preserve"> control over the previous 2-3 weeks.  </w:t>
      </w:r>
    </w:p>
    <w:p w14:paraId="30E00F38" w14:textId="77777777" w:rsidR="009C4E71" w:rsidRDefault="009C4E71" w:rsidP="003B7CD9">
      <w:pPr>
        <w:pStyle w:val="NoSpacing"/>
        <w:spacing w:line="360" w:lineRule="auto"/>
        <w:jc w:val="both"/>
        <w:rPr>
          <w:rFonts w:eastAsia="Arial Unicode MS"/>
          <w:lang w:val="en"/>
        </w:rPr>
      </w:pPr>
    </w:p>
    <w:p w14:paraId="1EB4B7DB" w14:textId="77777777" w:rsidR="00AA354C" w:rsidRDefault="00AA354C" w:rsidP="003B7CD9">
      <w:pPr>
        <w:pStyle w:val="NoSpacing"/>
        <w:spacing w:line="360" w:lineRule="auto"/>
        <w:jc w:val="both"/>
        <w:rPr>
          <w:rFonts w:eastAsia="Arial Unicode MS"/>
          <w:lang w:val="en"/>
        </w:rPr>
      </w:pPr>
      <w:proofErr w:type="spellStart"/>
      <w:r w:rsidRPr="007064AE">
        <w:rPr>
          <w:rFonts w:eastAsia="Arial Unicode MS"/>
          <w:lang w:val="en"/>
        </w:rPr>
        <w:t>Fructosamine</w:t>
      </w:r>
      <w:proofErr w:type="spellEnd"/>
      <w:r w:rsidRPr="007064AE">
        <w:rPr>
          <w:rFonts w:eastAsia="Arial Unicode MS"/>
          <w:lang w:val="en"/>
        </w:rPr>
        <w:t xml:space="preserve"> results cannot be directly compared to HbA1c results, but measurements are reported with an HbA1c-equivalent range.  Note that in patients with low albumin levels, </w:t>
      </w:r>
      <w:proofErr w:type="spellStart"/>
      <w:r w:rsidRPr="007064AE">
        <w:rPr>
          <w:rFonts w:eastAsia="Arial Unicode MS"/>
          <w:lang w:val="en"/>
        </w:rPr>
        <w:t>fructosamine</w:t>
      </w:r>
      <w:proofErr w:type="spellEnd"/>
      <w:r w:rsidRPr="007064AE">
        <w:rPr>
          <w:rFonts w:eastAsia="Arial Unicode MS"/>
          <w:lang w:val="en"/>
        </w:rPr>
        <w:t xml:space="preserve"> measurements can be misleading.</w:t>
      </w:r>
    </w:p>
    <w:p w14:paraId="15FDFE3D" w14:textId="77777777" w:rsidR="009C4E71" w:rsidRDefault="009C4E71" w:rsidP="003B7CD9">
      <w:pPr>
        <w:pStyle w:val="NoSpacing"/>
        <w:spacing w:line="360" w:lineRule="auto"/>
        <w:jc w:val="both"/>
        <w:rPr>
          <w:rFonts w:eastAsia="Arial Unicode MS"/>
          <w:lang w:val="en"/>
        </w:rPr>
      </w:pPr>
    </w:p>
    <w:p w14:paraId="4C0F2E0B" w14:textId="77777777" w:rsidR="009C4E71" w:rsidRPr="007064AE" w:rsidRDefault="009C4E71" w:rsidP="003B7CD9">
      <w:pPr>
        <w:pStyle w:val="NoSpacing"/>
        <w:spacing w:line="360" w:lineRule="auto"/>
        <w:jc w:val="both"/>
        <w:rPr>
          <w:rFonts w:eastAsia="Arial Unicode MS"/>
          <w:lang w:val="en"/>
        </w:rPr>
      </w:pPr>
      <w:proofErr w:type="spellStart"/>
      <w:r w:rsidRPr="007064AE">
        <w:rPr>
          <w:rFonts w:eastAsia="Arial Unicode MS"/>
          <w:lang w:val="en"/>
        </w:rPr>
        <w:t>Fructosamine</w:t>
      </w:r>
      <w:proofErr w:type="spellEnd"/>
      <w:r w:rsidRPr="007064AE">
        <w:rPr>
          <w:rFonts w:eastAsia="Arial Unicode MS"/>
          <w:lang w:val="en"/>
        </w:rPr>
        <w:t xml:space="preserve"> cannot be used to diagnose diabetes.  </w:t>
      </w:r>
    </w:p>
    <w:p w14:paraId="7D664B90" w14:textId="77777777" w:rsidR="00AA354C" w:rsidRDefault="00AA354C" w:rsidP="00AA354C">
      <w:pPr>
        <w:autoSpaceDE w:val="0"/>
        <w:autoSpaceDN w:val="0"/>
        <w:adjustRightInd w:val="0"/>
        <w:jc w:val="both"/>
        <w:rPr>
          <w:rFonts w:ascii="Arial Unicode MS" w:eastAsia="Arial Unicode MS" w:hAnsi="Arial Unicode MS" w:cs="Arial Unicode MS"/>
          <w:sz w:val="12"/>
          <w:szCs w:val="22"/>
          <w:lang w:val="en"/>
        </w:rPr>
      </w:pPr>
    </w:p>
    <w:p w14:paraId="586DBEE9" w14:textId="77777777" w:rsidR="009C4E71" w:rsidRPr="007064AE" w:rsidRDefault="009C4E71" w:rsidP="00AA354C">
      <w:pPr>
        <w:autoSpaceDE w:val="0"/>
        <w:autoSpaceDN w:val="0"/>
        <w:adjustRightInd w:val="0"/>
        <w:jc w:val="both"/>
        <w:rPr>
          <w:rFonts w:ascii="Arial Unicode MS" w:eastAsia="Arial Unicode MS" w:hAnsi="Arial Unicode MS" w:cs="Arial Unicode MS"/>
          <w:sz w:val="12"/>
          <w:szCs w:val="22"/>
          <w:lang w:val="en"/>
        </w:rPr>
      </w:pPr>
    </w:p>
    <w:p w14:paraId="0541C432" w14:textId="77777777" w:rsidR="00AA354C" w:rsidRDefault="00AA354C" w:rsidP="00AA354C">
      <w:pPr>
        <w:autoSpaceDE w:val="0"/>
        <w:autoSpaceDN w:val="0"/>
        <w:adjustRightInd w:val="0"/>
        <w:jc w:val="both"/>
        <w:rPr>
          <w:rFonts w:ascii="Arial Unicode MS" w:eastAsia="Arial Unicode MS" w:hAnsi="Arial Unicode MS" w:cs="Arial Unicode MS"/>
          <w:b/>
          <w:szCs w:val="22"/>
          <w:lang w:val="en"/>
        </w:rPr>
      </w:pPr>
      <w:r>
        <w:rPr>
          <w:noProof/>
          <w:lang w:eastAsia="en-GB"/>
        </w:rPr>
        <mc:AlternateContent>
          <mc:Choice Requires="wps">
            <w:drawing>
              <wp:anchor distT="0" distB="0" distL="114300" distR="114300" simplePos="0" relativeHeight="251660288" behindDoc="0" locked="0" layoutInCell="1" allowOverlap="1" wp14:anchorId="7C877AD4" wp14:editId="748006CE">
                <wp:simplePos x="0" y="0"/>
                <wp:positionH relativeFrom="column">
                  <wp:posOffset>35284</wp:posOffset>
                </wp:positionH>
                <wp:positionV relativeFrom="paragraph">
                  <wp:posOffset>87548</wp:posOffset>
                </wp:positionV>
                <wp:extent cx="5734050" cy="1781092"/>
                <wp:effectExtent l="0" t="0" r="1905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81092"/>
                        </a:xfrm>
                        <a:prstGeom prst="rect">
                          <a:avLst/>
                        </a:prstGeom>
                        <a:solidFill>
                          <a:srgbClr val="C0504D">
                            <a:lumMod val="20000"/>
                            <a:lumOff val="80000"/>
                          </a:srgbClr>
                        </a:solidFill>
                        <a:ln w="9525">
                          <a:solidFill>
                            <a:srgbClr val="000000"/>
                          </a:solidFill>
                          <a:miter lim="800000"/>
                          <a:headEnd/>
                          <a:tailEnd/>
                        </a:ln>
                      </wps:spPr>
                      <wps:txbx>
                        <w:txbxContent>
                          <w:p w14:paraId="38799AAE" w14:textId="77777777" w:rsidR="00AA354C" w:rsidRPr="009C4E71" w:rsidRDefault="00AA354C" w:rsidP="009C4E71">
                            <w:pPr>
                              <w:pStyle w:val="NoSpacing"/>
                              <w:spacing w:line="360" w:lineRule="auto"/>
                              <w:jc w:val="center"/>
                              <w:rPr>
                                <w:rFonts w:eastAsia="Arial Unicode MS"/>
                                <w:b/>
                                <w:lang w:val="en"/>
                              </w:rPr>
                            </w:pPr>
                            <w:r w:rsidRPr="009C4E71">
                              <w:rPr>
                                <w:rFonts w:eastAsia="Arial Unicode MS"/>
                                <w:b/>
                                <w:lang w:val="en"/>
                              </w:rPr>
                              <w:t>Further advice</w:t>
                            </w:r>
                          </w:p>
                          <w:p w14:paraId="2C2FCFC4" w14:textId="77777777" w:rsidR="00AA354C" w:rsidRDefault="00AA354C" w:rsidP="009C4E71">
                            <w:pPr>
                              <w:pStyle w:val="NoSpacing"/>
                              <w:spacing w:line="360" w:lineRule="auto"/>
                              <w:jc w:val="center"/>
                              <w:rPr>
                                <w:rFonts w:eastAsia="Arial Unicode MS"/>
                                <w:lang w:val="en"/>
                              </w:rPr>
                            </w:pPr>
                            <w:r w:rsidRPr="007064AE">
                              <w:rPr>
                                <w:rFonts w:eastAsia="Arial Unicode MS"/>
                                <w:lang w:val="en"/>
                              </w:rPr>
                              <w:t>Unexplained discrepancies between HbA1c and other glucose measurements should always be investigated.</w:t>
                            </w:r>
                          </w:p>
                          <w:p w14:paraId="414261C7" w14:textId="77777777" w:rsidR="00AA354C" w:rsidRPr="007064AE" w:rsidRDefault="00AA354C" w:rsidP="009C4E71">
                            <w:pPr>
                              <w:pStyle w:val="NoSpacing"/>
                              <w:spacing w:line="360" w:lineRule="auto"/>
                              <w:jc w:val="center"/>
                              <w:rPr>
                                <w:rFonts w:eastAsia="Arial Unicode MS"/>
                                <w:lang w:val="en"/>
                              </w:rPr>
                            </w:pPr>
                            <w:r w:rsidRPr="007064AE">
                              <w:rPr>
                                <w:rFonts w:eastAsia="Arial Unicode MS"/>
                                <w:lang w:val="en"/>
                              </w:rPr>
                              <w:t>Seek advice from Clinical Biochemistry or the Diabetes and Endocrinology Department.</w:t>
                            </w:r>
                          </w:p>
                          <w:p w14:paraId="2AADE563" w14:textId="77777777" w:rsidR="00AA354C" w:rsidRPr="003243C5" w:rsidRDefault="00AA354C" w:rsidP="009C4E71">
                            <w:pPr>
                              <w:pStyle w:val="NoSpacing"/>
                              <w:spacing w:line="360" w:lineRule="auto"/>
                              <w:jc w:val="center"/>
                              <w:rPr>
                                <w:rFonts w:eastAsia="Arial Unicode MS"/>
                                <w:lang w:val="en"/>
                              </w:rPr>
                            </w:pPr>
                            <w:r w:rsidRPr="007064AE">
                              <w:rPr>
                                <w:rFonts w:eastAsia="Arial Unicode MS"/>
                                <w:lang w:val="en"/>
                              </w:rPr>
                              <w:t>Please send an Advice and Guidance request to Clinical Biochemistry, or contact the Duty Biochemist on 01904 726366 (Mon-Fri, 9-5) for further information or to discuss the most appropriate alternative measurement.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77AD4" id="_x0000_s1028" type="#_x0000_t202" style="position:absolute;left:0;text-align:left;margin-left:2.8pt;margin-top:6.9pt;width:451.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" fillcolor="#f2dcdb">
                <v:textbox>
                  <w:txbxContent>
                    <w:p w14:paraId="38799AAE" w14:textId="77777777" w:rsidR="00AA354C" w:rsidRPr="009C4E71" w:rsidRDefault="00AA354C" w:rsidP="009C4E71">
                      <w:pPr>
                        <w:pStyle w:val="NoSpacing"/>
                        <w:spacing w:line="360" w:lineRule="auto"/>
                        <w:jc w:val="center"/>
                        <w:rPr>
                          <w:rFonts w:eastAsia="Arial Unicode MS"/>
                          <w:b/>
                          <w:lang w:val="en"/>
                        </w:rPr>
                      </w:pPr>
                      <w:r w:rsidRPr="009C4E71">
                        <w:rPr>
                          <w:rFonts w:eastAsia="Arial Unicode MS"/>
                          <w:b/>
                          <w:lang w:val="en"/>
                        </w:rPr>
                        <w:t>Further advice</w:t>
                      </w:r>
                    </w:p>
                    <w:p w14:paraId="2C2FCFC4" w14:textId="77777777" w:rsidR="00AA354C" w:rsidRDefault="00AA354C" w:rsidP="009C4E71">
                      <w:pPr>
                        <w:pStyle w:val="NoSpacing"/>
                        <w:spacing w:line="360" w:lineRule="auto"/>
                        <w:jc w:val="center"/>
                        <w:rPr>
                          <w:rFonts w:eastAsia="Arial Unicode MS"/>
                          <w:lang w:val="en"/>
                        </w:rPr>
                      </w:pPr>
                      <w:r w:rsidRPr="007064AE">
                        <w:rPr>
                          <w:rFonts w:eastAsia="Arial Unicode MS"/>
                          <w:lang w:val="en"/>
                        </w:rPr>
                        <w:t>Unexplained discrepancies between HbA1c and other glucose measurements should always be investigated.</w:t>
                      </w:r>
                    </w:p>
                    <w:p w14:paraId="414261C7" w14:textId="77777777" w:rsidR="00AA354C" w:rsidRPr="007064AE" w:rsidRDefault="00AA354C" w:rsidP="009C4E71">
                      <w:pPr>
                        <w:pStyle w:val="NoSpacing"/>
                        <w:spacing w:line="360" w:lineRule="auto"/>
                        <w:jc w:val="center"/>
                        <w:rPr>
                          <w:rFonts w:eastAsia="Arial Unicode MS"/>
                          <w:lang w:val="en"/>
                        </w:rPr>
                      </w:pPr>
                      <w:r w:rsidRPr="007064AE">
                        <w:rPr>
                          <w:rFonts w:eastAsia="Arial Unicode MS"/>
                          <w:lang w:val="en"/>
                        </w:rPr>
                        <w:t>Seek advice from Clinical Biochemistry or the Diabetes and Endocrinology Department.</w:t>
                      </w:r>
                    </w:p>
                    <w:p w14:paraId="2AADE563" w14:textId="77777777" w:rsidR="00AA354C" w:rsidRPr="003243C5" w:rsidRDefault="00AA354C" w:rsidP="009C4E71">
                      <w:pPr>
                        <w:pStyle w:val="NoSpacing"/>
                        <w:spacing w:line="360" w:lineRule="auto"/>
                        <w:jc w:val="center"/>
                        <w:rPr>
                          <w:rFonts w:eastAsia="Arial Unicode MS"/>
                          <w:lang w:val="en"/>
                        </w:rPr>
                      </w:pPr>
                      <w:r w:rsidRPr="007064AE">
                        <w:rPr>
                          <w:rFonts w:eastAsia="Arial Unicode MS"/>
                          <w:lang w:val="en"/>
                        </w:rPr>
                        <w:t>Please send an Advice and Guidance request to Clinical Biochemistry, or contact the Duty Biochemist on 01904 726366 (Mon-Fri, 9-5) for further information or to discuss the most appropriate alternative measurement.</w:t>
                      </w:r>
                    </w:p>
                  </w:txbxContent>
                </v:textbox>
              </v:shape>
            </w:pict>
          </mc:Fallback>
        </mc:AlternateContent>
      </w:r>
    </w:p>
    <w:p w14:paraId="47105395" w14:textId="77777777" w:rsidR="00AA354C" w:rsidRDefault="00AA354C" w:rsidP="00AA354C">
      <w:pPr>
        <w:autoSpaceDE w:val="0"/>
        <w:autoSpaceDN w:val="0"/>
        <w:adjustRightInd w:val="0"/>
        <w:jc w:val="both"/>
        <w:rPr>
          <w:rFonts w:ascii="Arial Unicode MS" w:eastAsia="Arial Unicode MS" w:hAnsi="Arial Unicode MS" w:cs="Arial Unicode MS"/>
          <w:b/>
          <w:szCs w:val="22"/>
          <w:lang w:val="en"/>
        </w:rPr>
      </w:pPr>
    </w:p>
    <w:p w14:paraId="5863556B" w14:textId="77777777" w:rsidR="00AA354C" w:rsidRDefault="00AA354C" w:rsidP="00AA354C">
      <w:pPr>
        <w:autoSpaceDE w:val="0"/>
        <w:autoSpaceDN w:val="0"/>
        <w:adjustRightInd w:val="0"/>
        <w:jc w:val="both"/>
        <w:rPr>
          <w:rFonts w:ascii="Arial Unicode MS" w:eastAsia="Arial Unicode MS" w:hAnsi="Arial Unicode MS" w:cs="Arial Unicode MS"/>
          <w:b/>
          <w:szCs w:val="22"/>
          <w:lang w:val="en"/>
        </w:rPr>
      </w:pPr>
    </w:p>
    <w:p w14:paraId="75D0BEFD" w14:textId="77777777" w:rsidR="00AA354C" w:rsidRDefault="00AA354C" w:rsidP="00AA354C">
      <w:pPr>
        <w:autoSpaceDE w:val="0"/>
        <w:autoSpaceDN w:val="0"/>
        <w:adjustRightInd w:val="0"/>
        <w:jc w:val="both"/>
        <w:rPr>
          <w:rFonts w:ascii="Arial Unicode MS" w:eastAsia="Arial Unicode MS" w:hAnsi="Arial Unicode MS" w:cs="Arial Unicode MS"/>
          <w:b/>
          <w:szCs w:val="22"/>
          <w:lang w:val="en"/>
        </w:rPr>
      </w:pPr>
    </w:p>
    <w:p w14:paraId="643BD6EF" w14:textId="77777777" w:rsidR="00AA354C" w:rsidRDefault="00AA354C" w:rsidP="00AA354C">
      <w:pPr>
        <w:autoSpaceDE w:val="0"/>
        <w:autoSpaceDN w:val="0"/>
        <w:adjustRightInd w:val="0"/>
        <w:jc w:val="both"/>
        <w:rPr>
          <w:rFonts w:ascii="Arial Unicode MS" w:eastAsia="Arial Unicode MS" w:hAnsi="Arial Unicode MS" w:cs="Arial Unicode MS"/>
          <w:b/>
          <w:szCs w:val="22"/>
          <w:lang w:val="en"/>
        </w:rPr>
      </w:pPr>
    </w:p>
    <w:p w14:paraId="66B185BC" w14:textId="77777777" w:rsidR="004A3F3D" w:rsidRDefault="004A3F3D" w:rsidP="009C4E71">
      <w:pPr>
        <w:autoSpaceDE w:val="0"/>
        <w:autoSpaceDN w:val="0"/>
        <w:adjustRightInd w:val="0"/>
        <w:jc w:val="both"/>
        <w:rPr>
          <w:rFonts w:ascii="Arial Unicode MS" w:eastAsia="Arial Unicode MS" w:hAnsi="Arial Unicode MS" w:cs="Arial Unicode MS"/>
          <w:b/>
          <w:szCs w:val="22"/>
          <w:lang w:val="en"/>
        </w:rPr>
      </w:pPr>
    </w:p>
    <w:p w14:paraId="43646140" w14:textId="77777777" w:rsidR="009C4E71" w:rsidRDefault="009C4E71" w:rsidP="009C4E71">
      <w:pPr>
        <w:autoSpaceDE w:val="0"/>
        <w:autoSpaceDN w:val="0"/>
        <w:adjustRightInd w:val="0"/>
        <w:jc w:val="both"/>
        <w:rPr>
          <w:color w:val="990033"/>
          <w:sz w:val="20"/>
        </w:rPr>
      </w:pPr>
    </w:p>
    <w:p w14:paraId="7CF3B9ED" w14:textId="77777777" w:rsidR="004A3F3D" w:rsidRPr="003243C5" w:rsidRDefault="004A3F3D" w:rsidP="004A3F3D">
      <w:pPr>
        <w:autoSpaceDE w:val="0"/>
        <w:autoSpaceDN w:val="0"/>
        <w:adjustRightInd w:val="0"/>
        <w:jc w:val="both"/>
        <w:rPr>
          <w:rFonts w:ascii="Arial Unicode MS" w:eastAsia="Arial Unicode MS" w:hAnsi="Arial Unicode MS" w:cs="Arial Unicode MS"/>
          <w:sz w:val="12"/>
          <w:szCs w:val="22"/>
          <w:lang w:eastAsia="en-GB"/>
        </w:rPr>
      </w:pPr>
    </w:p>
    <w:tbl>
      <w:tblPr>
        <w:tblStyle w:val="TableGrid"/>
        <w:tblW w:w="9924" w:type="dxa"/>
        <w:tblInd w:w="-31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6096"/>
        <w:gridCol w:w="3828"/>
      </w:tblGrid>
      <w:tr w:rsidR="004A3F3D" w:rsidRPr="00C61A6D" w14:paraId="3BF59CC7" w14:textId="77777777" w:rsidTr="003B7CD9">
        <w:tc>
          <w:tcPr>
            <w:tcW w:w="6096" w:type="dxa"/>
            <w:shd w:val="clear" w:color="auto" w:fill="990033"/>
          </w:tcPr>
          <w:p w14:paraId="2D30A598" w14:textId="77777777" w:rsidR="004A3F3D" w:rsidRPr="00AA354C" w:rsidRDefault="004A3F3D" w:rsidP="000A6001">
            <w:pPr>
              <w:pStyle w:val="Default"/>
              <w:ind w:left="108"/>
              <w:jc w:val="center"/>
              <w:rPr>
                <w:rFonts w:ascii="Arial Unicode MS" w:eastAsia="Arial Unicode MS" w:hAnsi="Arial Unicode MS" w:cs="Arial Unicode MS"/>
                <w:b/>
                <w:bCs/>
                <w:color w:val="FFFFFF"/>
                <w:sz w:val="23"/>
                <w:szCs w:val="23"/>
              </w:rPr>
            </w:pPr>
            <w:r w:rsidRPr="00AA354C">
              <w:rPr>
                <w:rFonts w:ascii="Arial Unicode MS" w:eastAsia="Arial Unicode MS" w:hAnsi="Arial Unicode MS" w:cs="Arial Unicode MS"/>
                <w:b/>
                <w:iCs/>
                <w:color w:val="FFFFFF"/>
                <w:sz w:val="23"/>
                <w:szCs w:val="23"/>
              </w:rPr>
              <w:t xml:space="preserve">Conditions </w:t>
            </w:r>
            <w:r w:rsidRPr="00AA354C">
              <w:rPr>
                <w:rFonts w:ascii="Arial Unicode MS" w:eastAsia="Arial Unicode MS" w:hAnsi="Arial Unicode MS" w:cs="Arial Unicode MS"/>
                <w:b/>
                <w:bCs/>
                <w:color w:val="FFFFFF"/>
                <w:sz w:val="23"/>
                <w:szCs w:val="23"/>
              </w:rPr>
              <w:t xml:space="preserve">with increased red cell survival </w:t>
            </w:r>
          </w:p>
          <w:p w14:paraId="3E4D92A8" w14:textId="77777777" w:rsidR="004A3F3D" w:rsidRPr="00AA354C" w:rsidRDefault="004A3F3D" w:rsidP="000A6001">
            <w:pPr>
              <w:pStyle w:val="Default"/>
              <w:ind w:left="108"/>
              <w:jc w:val="center"/>
              <w:rPr>
                <w:rFonts w:ascii="Arial Unicode MS" w:eastAsia="Arial Unicode MS" w:hAnsi="Arial Unicode MS" w:cs="Arial Unicode MS"/>
                <w:color w:val="FFFFFF"/>
                <w:sz w:val="23"/>
                <w:szCs w:val="23"/>
              </w:rPr>
            </w:pPr>
            <w:r w:rsidRPr="00AA354C">
              <w:rPr>
                <w:rFonts w:ascii="Arial Unicode MS" w:eastAsia="Arial Unicode MS" w:hAnsi="Arial Unicode MS" w:cs="Arial Unicode MS"/>
                <w:b/>
                <w:color w:val="FFFFFF"/>
                <w:sz w:val="23"/>
                <w:szCs w:val="23"/>
              </w:rPr>
              <w:t>may increase HbA1c:</w:t>
            </w:r>
          </w:p>
        </w:tc>
        <w:tc>
          <w:tcPr>
            <w:tcW w:w="3828" w:type="dxa"/>
            <w:shd w:val="clear" w:color="auto" w:fill="990033"/>
          </w:tcPr>
          <w:p w14:paraId="41001A16" w14:textId="77777777" w:rsidR="004A3F3D" w:rsidRPr="00AA354C" w:rsidRDefault="004A3F3D" w:rsidP="000A6001">
            <w:pPr>
              <w:pStyle w:val="Default"/>
              <w:ind w:left="108"/>
              <w:jc w:val="center"/>
              <w:rPr>
                <w:rFonts w:ascii="Arial Unicode MS" w:eastAsia="Arial Unicode MS" w:hAnsi="Arial Unicode MS" w:cs="Arial Unicode MS"/>
                <w:b/>
                <w:iCs/>
                <w:color w:val="FFFFFF"/>
                <w:sz w:val="23"/>
                <w:szCs w:val="23"/>
              </w:rPr>
            </w:pPr>
            <w:r w:rsidRPr="00AA354C">
              <w:rPr>
                <w:rFonts w:ascii="Arial Unicode MS" w:eastAsia="Arial Unicode MS" w:hAnsi="Arial Unicode MS" w:cs="Arial Unicode MS"/>
                <w:b/>
                <w:bCs/>
                <w:color w:val="FFFFFF"/>
                <w:sz w:val="23"/>
                <w:szCs w:val="23"/>
              </w:rPr>
              <w:t>Conditions with reduced red survival may lower HbA1c:</w:t>
            </w:r>
          </w:p>
        </w:tc>
      </w:tr>
      <w:tr w:rsidR="004A3F3D" w:rsidRPr="00C61A6D" w14:paraId="5AD34824" w14:textId="77777777" w:rsidTr="003B7CD9">
        <w:trPr>
          <w:trHeight w:val="469"/>
        </w:trPr>
        <w:tc>
          <w:tcPr>
            <w:tcW w:w="6096" w:type="dxa"/>
            <w:shd w:val="clear" w:color="auto" w:fill="auto"/>
            <w:vAlign w:val="center"/>
          </w:tcPr>
          <w:p w14:paraId="588C4F84" w14:textId="77777777" w:rsidR="004A3F3D" w:rsidRPr="00AA354C" w:rsidRDefault="004A3F3D" w:rsidP="000A6001">
            <w:pPr>
              <w:pStyle w:val="Default"/>
              <w:ind w:left="108"/>
              <w:jc w:val="center"/>
              <w:rPr>
                <w:rFonts w:ascii="Arial Unicode MS" w:eastAsia="Arial Unicode MS" w:hAnsi="Arial Unicode MS" w:cs="Arial Unicode MS"/>
                <w:iCs/>
                <w:color w:val="FFFFFF"/>
                <w:sz w:val="21"/>
                <w:szCs w:val="21"/>
              </w:rPr>
            </w:pPr>
            <w:r w:rsidRPr="003243C5">
              <w:rPr>
                <w:rFonts w:ascii="Arial Unicode MS" w:eastAsia="Arial Unicode MS" w:hAnsi="Arial Unicode MS" w:cs="Arial Unicode MS"/>
                <w:color w:val="auto"/>
                <w:sz w:val="21"/>
                <w:szCs w:val="21"/>
              </w:rPr>
              <w:t>Splenectomy</w:t>
            </w:r>
          </w:p>
        </w:tc>
        <w:tc>
          <w:tcPr>
            <w:tcW w:w="3828" w:type="dxa"/>
            <w:shd w:val="clear" w:color="auto" w:fill="auto"/>
            <w:vAlign w:val="center"/>
          </w:tcPr>
          <w:p w14:paraId="19D350E6" w14:textId="77777777" w:rsidR="004A3F3D" w:rsidRPr="003243C5" w:rsidRDefault="004A3F3D" w:rsidP="000A6001">
            <w:pPr>
              <w:autoSpaceDE w:val="0"/>
              <w:autoSpaceDN w:val="0"/>
              <w:adjustRightInd w:val="0"/>
              <w:jc w:val="center"/>
              <w:rPr>
                <w:rFonts w:ascii="Arial Unicode MS" w:eastAsia="Arial Unicode MS" w:hAnsi="Arial Unicode MS" w:cs="Arial Unicode MS"/>
                <w:color w:val="0070C0"/>
                <w:sz w:val="21"/>
                <w:szCs w:val="21"/>
                <w:lang w:eastAsia="en-GB"/>
              </w:rPr>
            </w:pPr>
            <w:r w:rsidRPr="003243C5">
              <w:rPr>
                <w:rFonts w:ascii="Arial Unicode MS" w:eastAsia="Arial Unicode MS" w:hAnsi="Arial Unicode MS" w:cs="Arial Unicode MS"/>
                <w:color w:val="0070C0"/>
                <w:sz w:val="21"/>
                <w:szCs w:val="21"/>
                <w:lang w:eastAsia="en-GB"/>
              </w:rPr>
              <w:fldChar w:fldCharType="begin"/>
            </w:r>
            <w:r w:rsidRPr="003243C5">
              <w:rPr>
                <w:rFonts w:ascii="Arial Unicode MS" w:eastAsia="Arial Unicode MS" w:hAnsi="Arial Unicode MS" w:cs="Arial Unicode MS"/>
                <w:color w:val="0070C0"/>
                <w:sz w:val="21"/>
                <w:szCs w:val="21"/>
                <w:lang w:eastAsia="en-GB"/>
              </w:rPr>
              <w:instrText xml:space="preserve"> </w:instrText>
            </w:r>
            <w:r w:rsidRPr="003243C5">
              <w:rPr>
                <w:rFonts w:ascii="Arial Unicode MS" w:eastAsia="Arial Unicode MS" w:hAnsi="Arial Unicode MS" w:cs="Arial Unicode MS"/>
                <w:color w:val="0070C0"/>
                <w:sz w:val="21"/>
                <w:szCs w:val="21"/>
              </w:rPr>
              <w:instrText>AutoTextList  \s NoStyle \t "</w:instrText>
            </w:r>
            <w:r w:rsidRPr="003243C5">
              <w:rPr>
                <w:rFonts w:ascii="Arial Unicode MS" w:eastAsia="Arial Unicode MS" w:hAnsi="Arial Unicode MS" w:cs="Arial Unicode MS"/>
                <w:color w:val="0070C0"/>
                <w:sz w:val="21"/>
                <w:szCs w:val="21"/>
                <w:lang w:eastAsia="en-GB"/>
              </w:rPr>
              <w:instrText>HbA1c is very sensitive to even mild haemolytic disorders</w:instrText>
            </w:r>
            <w:r w:rsidRPr="003243C5">
              <w:rPr>
                <w:rFonts w:ascii="Arial Unicode MS" w:eastAsia="Arial Unicode MS" w:hAnsi="Arial Unicode MS" w:cs="Arial Unicode MS"/>
                <w:color w:val="0070C0"/>
                <w:sz w:val="21"/>
                <w:szCs w:val="21"/>
              </w:rPr>
              <w:instrText>"</w:instrText>
            </w:r>
            <w:r w:rsidRPr="003243C5">
              <w:rPr>
                <w:rFonts w:ascii="Arial Unicode MS" w:eastAsia="Arial Unicode MS" w:hAnsi="Arial Unicode MS" w:cs="Arial Unicode MS"/>
                <w:color w:val="0070C0"/>
                <w:sz w:val="21"/>
                <w:szCs w:val="21"/>
                <w:lang w:eastAsia="en-GB"/>
              </w:rPr>
              <w:instrText xml:space="preserve"> </w:instrText>
            </w:r>
            <w:r w:rsidRPr="003243C5">
              <w:rPr>
                <w:rFonts w:ascii="Arial Unicode MS" w:eastAsia="Arial Unicode MS" w:hAnsi="Arial Unicode MS" w:cs="Arial Unicode MS"/>
                <w:color w:val="0070C0"/>
                <w:sz w:val="21"/>
                <w:szCs w:val="21"/>
                <w:lang w:eastAsia="en-GB"/>
              </w:rPr>
              <w:fldChar w:fldCharType="separate"/>
            </w:r>
            <w:r w:rsidRPr="003243C5">
              <w:rPr>
                <w:rFonts w:ascii="Arial Unicode MS" w:eastAsia="Arial Unicode MS" w:hAnsi="Arial Unicode MS" w:cs="Arial Unicode MS"/>
                <w:color w:val="0070C0"/>
                <w:sz w:val="21"/>
                <w:szCs w:val="21"/>
              </w:rPr>
              <w:t>Haemolytic anaemia</w:t>
            </w:r>
            <w:r w:rsidRPr="003243C5">
              <w:rPr>
                <w:rFonts w:ascii="Arial Unicode MS" w:eastAsia="Arial Unicode MS" w:hAnsi="Arial Unicode MS" w:cs="Arial Unicode MS"/>
                <w:color w:val="0070C0"/>
                <w:sz w:val="21"/>
                <w:szCs w:val="21"/>
                <w:lang w:eastAsia="en-GB"/>
              </w:rPr>
              <w:fldChar w:fldCharType="end"/>
            </w:r>
          </w:p>
        </w:tc>
      </w:tr>
      <w:tr w:rsidR="004A3F3D" w:rsidRPr="00C61A6D" w14:paraId="379B3830" w14:textId="77777777" w:rsidTr="003B7CD9">
        <w:tc>
          <w:tcPr>
            <w:tcW w:w="6096" w:type="dxa"/>
            <w:vMerge w:val="restart"/>
            <w:shd w:val="clear" w:color="auto" w:fill="auto"/>
            <w:vAlign w:val="center"/>
          </w:tcPr>
          <w:p w14:paraId="76837CF1" w14:textId="77777777" w:rsidR="004A3F3D" w:rsidRPr="003243C5" w:rsidRDefault="004A3F3D" w:rsidP="000A6001">
            <w:pPr>
              <w:pStyle w:val="Default"/>
              <w:ind w:left="108"/>
              <w:jc w:val="center"/>
              <w:rPr>
                <w:rFonts w:ascii="Arial Unicode MS" w:eastAsia="Arial Unicode MS" w:hAnsi="Arial Unicode MS" w:cs="Arial Unicode MS"/>
                <w:sz w:val="21"/>
                <w:szCs w:val="21"/>
              </w:rPr>
            </w:pPr>
            <w:r w:rsidRPr="003243C5">
              <w:rPr>
                <w:rFonts w:ascii="Arial Unicode MS" w:eastAsia="Arial Unicode MS" w:hAnsi="Arial Unicode MS" w:cs="Arial Unicode MS"/>
                <w:color w:val="auto"/>
                <w:sz w:val="21"/>
                <w:szCs w:val="21"/>
              </w:rPr>
              <w:t>Haemoglobin variants</w:t>
            </w:r>
            <w:r w:rsidRPr="003243C5">
              <w:rPr>
                <w:rFonts w:ascii="Arial Unicode MS" w:eastAsia="Arial Unicode MS" w:hAnsi="Arial Unicode MS" w:cs="Arial Unicode MS"/>
                <w:b/>
                <w:color w:val="auto"/>
                <w:sz w:val="21"/>
                <w:szCs w:val="21"/>
              </w:rPr>
              <w:t xml:space="preserve"> </w:t>
            </w:r>
            <w:r w:rsidRPr="003243C5">
              <w:rPr>
                <w:rFonts w:ascii="Arial Unicode MS" w:eastAsia="Arial Unicode MS" w:hAnsi="Arial Unicode MS" w:cs="Arial Unicode MS"/>
                <w:sz w:val="21"/>
                <w:szCs w:val="21"/>
              </w:rPr>
              <w:t>have variable effects on HbA1c results.</w:t>
            </w:r>
          </w:p>
          <w:p w14:paraId="2D5D3106" w14:textId="77777777" w:rsidR="004A3F3D" w:rsidRPr="003243C5" w:rsidRDefault="004A3F3D" w:rsidP="000A6001">
            <w:pPr>
              <w:pStyle w:val="Default"/>
              <w:ind w:left="108"/>
              <w:jc w:val="center"/>
              <w:rPr>
                <w:rFonts w:ascii="Arial Unicode MS" w:eastAsia="Arial Unicode MS" w:hAnsi="Arial Unicode MS" w:cs="Arial Unicode MS"/>
                <w:i/>
                <w:iCs/>
                <w:sz w:val="21"/>
                <w:szCs w:val="21"/>
              </w:rPr>
            </w:pPr>
            <w:r w:rsidRPr="003243C5">
              <w:rPr>
                <w:rFonts w:ascii="Arial Unicode MS" w:eastAsia="Arial Unicode MS" w:hAnsi="Arial Unicode MS" w:cs="Arial Unicode MS"/>
                <w:sz w:val="21"/>
                <w:szCs w:val="21"/>
              </w:rPr>
              <w:t xml:space="preserve">Many haemoglobinopathies </w:t>
            </w:r>
            <w:r w:rsidRPr="003243C5">
              <w:rPr>
                <w:rFonts w:ascii="Arial Unicode MS" w:eastAsia="Arial Unicode MS" w:hAnsi="Arial Unicode MS" w:cs="Arial Unicode MS"/>
                <w:bCs/>
                <w:sz w:val="21"/>
                <w:szCs w:val="21"/>
              </w:rPr>
              <w:t xml:space="preserve">are </w:t>
            </w:r>
            <w:r w:rsidRPr="003243C5">
              <w:rPr>
                <w:rFonts w:ascii="Arial Unicode MS" w:eastAsia="Arial Unicode MS" w:hAnsi="Arial Unicode MS" w:cs="Arial Unicode MS"/>
                <w:sz w:val="21"/>
                <w:szCs w:val="21"/>
              </w:rPr>
              <w:t>detected by the lab, but should also be suspected in racial groups where there is a high prevalence of sickle trait, sickle disease or thalassaemia.</w:t>
            </w:r>
          </w:p>
          <w:p w14:paraId="6B2E763D" w14:textId="77777777" w:rsidR="004A3F3D" w:rsidRPr="00AA354C" w:rsidRDefault="004A3F3D" w:rsidP="000A6001">
            <w:pPr>
              <w:pStyle w:val="Default"/>
              <w:ind w:left="108"/>
              <w:jc w:val="center"/>
              <w:rPr>
                <w:rFonts w:ascii="Arial Unicode MS" w:eastAsia="Arial Unicode MS" w:hAnsi="Arial Unicode MS" w:cs="Arial Unicode MS"/>
                <w:b/>
                <w:iCs/>
                <w:color w:val="FFFFFF"/>
                <w:sz w:val="21"/>
                <w:szCs w:val="21"/>
              </w:rPr>
            </w:pPr>
            <w:r w:rsidRPr="003243C5">
              <w:rPr>
                <w:rFonts w:ascii="Arial Unicode MS" w:eastAsia="Arial Unicode MS" w:hAnsi="Arial Unicode MS" w:cs="Arial Unicode MS"/>
                <w:sz w:val="21"/>
                <w:szCs w:val="21"/>
              </w:rPr>
              <w:t xml:space="preserve">Most common variants do not directly affect the measurement of HbA1c itself but some rare variants may directly interfere in HbA1c measurement, usually giving falsely low results. It is more common that a variant shortens red cell survival time. Disorders which cause high levels of </w:t>
            </w:r>
            <w:proofErr w:type="spellStart"/>
            <w:r w:rsidRPr="003243C5">
              <w:rPr>
                <w:rFonts w:ascii="Arial Unicode MS" w:eastAsia="Arial Unicode MS" w:hAnsi="Arial Unicode MS" w:cs="Arial Unicode MS"/>
                <w:sz w:val="21"/>
                <w:szCs w:val="21"/>
              </w:rPr>
              <w:t>fetal</w:t>
            </w:r>
            <w:proofErr w:type="spellEnd"/>
            <w:r w:rsidRPr="003243C5">
              <w:rPr>
                <w:rFonts w:ascii="Arial Unicode MS" w:eastAsia="Arial Unicode MS" w:hAnsi="Arial Unicode MS" w:cs="Arial Unicode MS"/>
                <w:sz w:val="21"/>
                <w:szCs w:val="21"/>
              </w:rPr>
              <w:t xml:space="preserve"> Hb (</w:t>
            </w:r>
            <w:proofErr w:type="spellStart"/>
            <w:r w:rsidRPr="003243C5">
              <w:rPr>
                <w:rFonts w:ascii="Arial Unicode MS" w:eastAsia="Arial Unicode MS" w:hAnsi="Arial Unicode MS" w:cs="Arial Unicode MS"/>
                <w:sz w:val="21"/>
                <w:szCs w:val="21"/>
              </w:rPr>
              <w:t>HbF</w:t>
            </w:r>
            <w:proofErr w:type="spellEnd"/>
            <w:r w:rsidRPr="003243C5">
              <w:rPr>
                <w:rFonts w:ascii="Arial Unicode MS" w:eastAsia="Arial Unicode MS" w:hAnsi="Arial Unicode MS" w:cs="Arial Unicode MS"/>
                <w:sz w:val="21"/>
                <w:szCs w:val="21"/>
              </w:rPr>
              <w:t xml:space="preserve">), such as </w:t>
            </w:r>
            <w:proofErr w:type="spellStart"/>
            <w:r w:rsidRPr="003243C5">
              <w:rPr>
                <w:rFonts w:ascii="Arial Unicode MS" w:eastAsia="Arial Unicode MS" w:hAnsi="Arial Unicode MS" w:cs="Arial Unicode MS"/>
                <w:sz w:val="21"/>
                <w:szCs w:val="21"/>
              </w:rPr>
              <w:t>thalassaemias</w:t>
            </w:r>
            <w:proofErr w:type="spellEnd"/>
            <w:r w:rsidRPr="003243C5">
              <w:rPr>
                <w:rFonts w:ascii="Arial Unicode MS" w:eastAsia="Arial Unicode MS" w:hAnsi="Arial Unicode MS" w:cs="Arial Unicode MS"/>
                <w:sz w:val="21"/>
                <w:szCs w:val="21"/>
              </w:rPr>
              <w:t>, give falsely low HbA1c results.</w:t>
            </w:r>
          </w:p>
        </w:tc>
        <w:tc>
          <w:tcPr>
            <w:tcW w:w="3828" w:type="dxa"/>
            <w:shd w:val="clear" w:color="auto" w:fill="auto"/>
            <w:vAlign w:val="center"/>
          </w:tcPr>
          <w:p w14:paraId="707AF1CD" w14:textId="77777777" w:rsidR="004A3F3D" w:rsidRPr="003243C5" w:rsidRDefault="004A3F3D" w:rsidP="000A6001">
            <w:pPr>
              <w:pStyle w:val="Default"/>
              <w:jc w:val="center"/>
              <w:rPr>
                <w:rFonts w:ascii="Arial Unicode MS" w:eastAsia="Arial Unicode MS" w:hAnsi="Arial Unicode MS" w:cs="Arial Unicode MS"/>
                <w:sz w:val="21"/>
                <w:szCs w:val="21"/>
              </w:rPr>
            </w:pPr>
            <w:r w:rsidRPr="003243C5">
              <w:rPr>
                <w:rFonts w:ascii="Arial Unicode MS" w:eastAsia="Arial Unicode MS" w:hAnsi="Arial Unicode MS" w:cs="Arial Unicode MS"/>
                <w:sz w:val="21"/>
                <w:szCs w:val="21"/>
              </w:rPr>
              <w:t>Recent blood donation, severe blood loss, transfusion, venesection</w:t>
            </w:r>
          </w:p>
        </w:tc>
      </w:tr>
      <w:tr w:rsidR="004A3F3D" w:rsidRPr="00C61A6D" w14:paraId="60D9C55F" w14:textId="77777777" w:rsidTr="003B7CD9">
        <w:tc>
          <w:tcPr>
            <w:tcW w:w="6096" w:type="dxa"/>
            <w:vMerge/>
            <w:shd w:val="clear" w:color="auto" w:fill="auto"/>
            <w:vAlign w:val="center"/>
          </w:tcPr>
          <w:p w14:paraId="58C766DF" w14:textId="77777777" w:rsidR="004A3F3D" w:rsidRPr="00AA354C" w:rsidRDefault="004A3F3D" w:rsidP="000A6001">
            <w:pPr>
              <w:pStyle w:val="Default"/>
              <w:ind w:left="108"/>
              <w:jc w:val="center"/>
              <w:rPr>
                <w:rFonts w:ascii="Arial Unicode MS" w:eastAsia="Arial Unicode MS" w:hAnsi="Arial Unicode MS" w:cs="Arial Unicode MS"/>
                <w:b/>
                <w:iCs/>
                <w:color w:val="FFFFFF"/>
                <w:sz w:val="21"/>
                <w:szCs w:val="21"/>
              </w:rPr>
            </w:pPr>
          </w:p>
        </w:tc>
        <w:tc>
          <w:tcPr>
            <w:tcW w:w="3828" w:type="dxa"/>
            <w:shd w:val="clear" w:color="auto" w:fill="auto"/>
            <w:vAlign w:val="center"/>
          </w:tcPr>
          <w:p w14:paraId="74C26641" w14:textId="77777777" w:rsidR="004A3F3D" w:rsidRPr="003243C5" w:rsidRDefault="004A3F3D" w:rsidP="000A6001">
            <w:pPr>
              <w:pStyle w:val="Default"/>
              <w:jc w:val="center"/>
              <w:rPr>
                <w:rFonts w:ascii="Arial Unicode MS" w:eastAsia="Arial Unicode MS" w:hAnsi="Arial Unicode MS" w:cs="Arial Unicode MS"/>
                <w:sz w:val="21"/>
                <w:szCs w:val="21"/>
              </w:rPr>
            </w:pPr>
            <w:r w:rsidRPr="003243C5">
              <w:rPr>
                <w:rFonts w:ascii="Arial Unicode MS" w:eastAsia="Arial Unicode MS" w:hAnsi="Arial Unicode MS" w:cs="Arial Unicode MS"/>
                <w:sz w:val="21"/>
                <w:szCs w:val="21"/>
              </w:rPr>
              <w:t xml:space="preserve">Chronic kidney disease (CKD4 or 5) &amp; </w:t>
            </w:r>
            <w:r w:rsidRPr="003243C5">
              <w:rPr>
                <w:rFonts w:ascii="Arial Unicode MS" w:eastAsia="Arial Unicode MS" w:hAnsi="Arial Unicode MS" w:cs="Arial Unicode MS"/>
                <w:sz w:val="21"/>
                <w:szCs w:val="21"/>
              </w:rPr>
              <w:fldChar w:fldCharType="begin"/>
            </w:r>
            <w:r w:rsidRPr="003243C5">
              <w:rPr>
                <w:rFonts w:ascii="Arial Unicode MS" w:eastAsia="Arial Unicode MS" w:hAnsi="Arial Unicode MS" w:cs="Arial Unicode MS"/>
                <w:sz w:val="21"/>
                <w:szCs w:val="21"/>
              </w:rPr>
              <w:instrText xml:space="preserve"> AutoTextList  \s NoStyle \t "HbA1c is markedly reduced, especially if treated with erythropoietin" </w:instrText>
            </w:r>
            <w:r w:rsidRPr="003243C5">
              <w:rPr>
                <w:rFonts w:ascii="Arial Unicode MS" w:eastAsia="Arial Unicode MS" w:hAnsi="Arial Unicode MS" w:cs="Arial Unicode MS"/>
                <w:sz w:val="21"/>
                <w:szCs w:val="21"/>
              </w:rPr>
              <w:fldChar w:fldCharType="separate"/>
            </w:r>
            <w:r w:rsidRPr="003243C5">
              <w:rPr>
                <w:rFonts w:ascii="Arial Unicode MS" w:eastAsia="Arial Unicode MS" w:hAnsi="Arial Unicode MS" w:cs="Arial Unicode MS"/>
                <w:color w:val="0070C0"/>
                <w:sz w:val="21"/>
                <w:szCs w:val="21"/>
              </w:rPr>
              <w:t>renal dialysis patients</w:t>
            </w:r>
            <w:r w:rsidRPr="003243C5">
              <w:rPr>
                <w:rFonts w:ascii="Arial Unicode MS" w:eastAsia="Arial Unicode MS" w:hAnsi="Arial Unicode MS" w:cs="Arial Unicode MS"/>
                <w:sz w:val="21"/>
                <w:szCs w:val="21"/>
              </w:rPr>
              <w:fldChar w:fldCharType="end"/>
            </w:r>
          </w:p>
        </w:tc>
      </w:tr>
      <w:tr w:rsidR="004A3F3D" w:rsidRPr="00C61A6D" w14:paraId="7D8FF722" w14:textId="77777777" w:rsidTr="003B7CD9">
        <w:tc>
          <w:tcPr>
            <w:tcW w:w="6096" w:type="dxa"/>
            <w:vMerge/>
            <w:shd w:val="clear" w:color="auto" w:fill="auto"/>
            <w:vAlign w:val="center"/>
          </w:tcPr>
          <w:p w14:paraId="1D75ADCC" w14:textId="77777777" w:rsidR="004A3F3D" w:rsidRPr="00AA354C" w:rsidRDefault="004A3F3D" w:rsidP="000A6001">
            <w:pPr>
              <w:pStyle w:val="Default"/>
              <w:ind w:left="108"/>
              <w:jc w:val="center"/>
              <w:rPr>
                <w:rFonts w:ascii="Arial Unicode MS" w:eastAsia="Arial Unicode MS" w:hAnsi="Arial Unicode MS" w:cs="Arial Unicode MS"/>
                <w:b/>
                <w:iCs/>
                <w:color w:val="FFFFFF"/>
                <w:sz w:val="21"/>
                <w:szCs w:val="21"/>
              </w:rPr>
            </w:pPr>
          </w:p>
        </w:tc>
        <w:tc>
          <w:tcPr>
            <w:tcW w:w="3828" w:type="dxa"/>
            <w:shd w:val="clear" w:color="auto" w:fill="auto"/>
            <w:vAlign w:val="center"/>
          </w:tcPr>
          <w:p w14:paraId="46992E3F" w14:textId="77777777" w:rsidR="004A3F3D" w:rsidRPr="003243C5" w:rsidRDefault="004A3F3D" w:rsidP="000A6001">
            <w:pPr>
              <w:pStyle w:val="Default"/>
              <w:jc w:val="center"/>
              <w:rPr>
                <w:rFonts w:ascii="Arial Unicode MS" w:eastAsia="Arial Unicode MS" w:hAnsi="Arial Unicode MS" w:cs="Arial Unicode MS"/>
                <w:sz w:val="21"/>
                <w:szCs w:val="21"/>
              </w:rPr>
            </w:pPr>
            <w:r w:rsidRPr="003243C5">
              <w:rPr>
                <w:rFonts w:ascii="Arial Unicode MS" w:eastAsia="Arial Unicode MS" w:hAnsi="Arial Unicode MS" w:cs="Arial Unicode MS"/>
                <w:sz w:val="21"/>
                <w:szCs w:val="21"/>
              </w:rPr>
              <w:t xml:space="preserve">Antiretroviral drugs, </w:t>
            </w:r>
            <w:r w:rsidRPr="003243C5">
              <w:rPr>
                <w:rFonts w:ascii="Arial Unicode MS" w:eastAsia="Arial Unicode MS" w:hAnsi="Arial Unicode MS" w:cs="Arial Unicode MS"/>
                <w:iCs/>
                <w:sz w:val="21"/>
                <w:szCs w:val="21"/>
              </w:rPr>
              <w:t xml:space="preserve">dapsone, </w:t>
            </w:r>
            <w:proofErr w:type="spellStart"/>
            <w:r w:rsidRPr="003243C5">
              <w:rPr>
                <w:rFonts w:ascii="Arial Unicode MS" w:eastAsia="Arial Unicode MS" w:hAnsi="Arial Unicode MS" w:cs="Arial Unicode MS"/>
                <w:iCs/>
                <w:sz w:val="21"/>
                <w:szCs w:val="21"/>
              </w:rPr>
              <w:t>ribavarin</w:t>
            </w:r>
            <w:proofErr w:type="spellEnd"/>
            <w:r w:rsidRPr="003243C5">
              <w:rPr>
                <w:rFonts w:ascii="Arial Unicode MS" w:eastAsia="Arial Unicode MS" w:hAnsi="Arial Unicode MS" w:cs="Arial Unicode MS"/>
                <w:iCs/>
                <w:sz w:val="21"/>
                <w:szCs w:val="21"/>
              </w:rPr>
              <w:t xml:space="preserve"> (RBC destruction)</w:t>
            </w:r>
          </w:p>
        </w:tc>
      </w:tr>
      <w:tr w:rsidR="004A3F3D" w:rsidRPr="00C61A6D" w14:paraId="75BA3504" w14:textId="77777777" w:rsidTr="003B7CD9">
        <w:tc>
          <w:tcPr>
            <w:tcW w:w="6096" w:type="dxa"/>
            <w:vMerge/>
            <w:shd w:val="clear" w:color="auto" w:fill="auto"/>
            <w:vAlign w:val="center"/>
          </w:tcPr>
          <w:p w14:paraId="1708C1CC" w14:textId="77777777" w:rsidR="004A3F3D" w:rsidRPr="00AA354C" w:rsidRDefault="004A3F3D" w:rsidP="000A6001">
            <w:pPr>
              <w:pStyle w:val="Default"/>
              <w:ind w:left="108"/>
              <w:jc w:val="center"/>
              <w:rPr>
                <w:rFonts w:ascii="Arial Unicode MS" w:eastAsia="Arial Unicode MS" w:hAnsi="Arial Unicode MS" w:cs="Arial Unicode MS"/>
                <w:b/>
                <w:iCs/>
                <w:color w:val="FFFFFF"/>
                <w:sz w:val="21"/>
                <w:szCs w:val="21"/>
              </w:rPr>
            </w:pPr>
          </w:p>
        </w:tc>
        <w:tc>
          <w:tcPr>
            <w:tcW w:w="3828" w:type="dxa"/>
            <w:shd w:val="clear" w:color="auto" w:fill="auto"/>
            <w:vAlign w:val="center"/>
          </w:tcPr>
          <w:p w14:paraId="45FF7F0F" w14:textId="77777777" w:rsidR="004A3F3D" w:rsidRPr="003243C5" w:rsidRDefault="004A3F3D" w:rsidP="000A6001">
            <w:pPr>
              <w:pStyle w:val="Default"/>
              <w:jc w:val="center"/>
              <w:rPr>
                <w:rFonts w:ascii="Arial Unicode MS" w:eastAsia="Arial Unicode MS" w:hAnsi="Arial Unicode MS" w:cs="Arial Unicode MS"/>
                <w:sz w:val="21"/>
                <w:szCs w:val="21"/>
              </w:rPr>
            </w:pPr>
            <w:r w:rsidRPr="003243C5">
              <w:rPr>
                <w:rFonts w:ascii="Arial Unicode MS" w:eastAsia="Arial Unicode MS" w:hAnsi="Arial Unicode MS" w:cs="Arial Unicode MS"/>
                <w:iCs/>
                <w:sz w:val="21"/>
                <w:szCs w:val="21"/>
              </w:rPr>
              <w:t xml:space="preserve">Liver </w:t>
            </w:r>
            <w:r w:rsidRPr="003243C5">
              <w:rPr>
                <w:rFonts w:ascii="Arial Unicode MS" w:eastAsia="Arial Unicode MS" w:hAnsi="Arial Unicode MS" w:cs="Arial Unicode MS"/>
                <w:sz w:val="21"/>
                <w:szCs w:val="21"/>
              </w:rPr>
              <w:t>disease / alcohol excess</w:t>
            </w:r>
          </w:p>
        </w:tc>
      </w:tr>
      <w:tr w:rsidR="004A3F3D" w:rsidRPr="00C61A6D" w14:paraId="0B00B540" w14:textId="77777777" w:rsidTr="003B7CD9">
        <w:tc>
          <w:tcPr>
            <w:tcW w:w="6096" w:type="dxa"/>
            <w:vMerge/>
            <w:shd w:val="clear" w:color="auto" w:fill="auto"/>
            <w:vAlign w:val="center"/>
          </w:tcPr>
          <w:p w14:paraId="0390E11A" w14:textId="77777777" w:rsidR="004A3F3D" w:rsidRPr="00AA354C" w:rsidRDefault="004A3F3D" w:rsidP="000A6001">
            <w:pPr>
              <w:pStyle w:val="Default"/>
              <w:ind w:left="108"/>
              <w:jc w:val="center"/>
              <w:rPr>
                <w:rFonts w:ascii="Arial Unicode MS" w:eastAsia="Arial Unicode MS" w:hAnsi="Arial Unicode MS" w:cs="Arial Unicode MS"/>
                <w:b/>
                <w:iCs/>
                <w:color w:val="FFFFFF"/>
                <w:sz w:val="21"/>
                <w:szCs w:val="21"/>
              </w:rPr>
            </w:pPr>
          </w:p>
        </w:tc>
        <w:tc>
          <w:tcPr>
            <w:tcW w:w="3828" w:type="dxa"/>
            <w:shd w:val="clear" w:color="auto" w:fill="auto"/>
            <w:vAlign w:val="center"/>
          </w:tcPr>
          <w:p w14:paraId="681865A7" w14:textId="77777777" w:rsidR="004A3F3D" w:rsidRPr="003243C5" w:rsidRDefault="004A3F3D" w:rsidP="000A6001">
            <w:pPr>
              <w:pStyle w:val="Default"/>
              <w:jc w:val="center"/>
              <w:rPr>
                <w:rFonts w:ascii="Arial Unicode MS" w:eastAsia="Arial Unicode MS" w:hAnsi="Arial Unicode MS" w:cs="Arial Unicode MS"/>
                <w:sz w:val="21"/>
                <w:szCs w:val="21"/>
              </w:rPr>
            </w:pPr>
            <w:r w:rsidRPr="003243C5">
              <w:rPr>
                <w:rFonts w:ascii="Arial Unicode MS" w:eastAsia="Arial Unicode MS" w:hAnsi="Arial Unicode MS" w:cs="Arial Unicode MS"/>
                <w:sz w:val="21"/>
                <w:szCs w:val="21"/>
              </w:rPr>
              <w:t xml:space="preserve">Splenomegaly </w:t>
            </w:r>
            <w:r w:rsidRPr="003243C5">
              <w:rPr>
                <w:rFonts w:ascii="Arial Unicode MS" w:eastAsia="Arial Unicode MS" w:hAnsi="Arial Unicode MS" w:cs="Arial Unicode MS"/>
                <w:iCs/>
                <w:sz w:val="21"/>
                <w:szCs w:val="21"/>
              </w:rPr>
              <w:t>/ hereditary spherocytosis</w:t>
            </w:r>
          </w:p>
        </w:tc>
      </w:tr>
      <w:tr w:rsidR="004A3F3D" w:rsidRPr="00C61A6D" w14:paraId="2A3513DC" w14:textId="77777777" w:rsidTr="003B7CD9">
        <w:tc>
          <w:tcPr>
            <w:tcW w:w="6096" w:type="dxa"/>
            <w:vMerge/>
            <w:shd w:val="clear" w:color="auto" w:fill="auto"/>
            <w:vAlign w:val="center"/>
          </w:tcPr>
          <w:p w14:paraId="35361C36" w14:textId="77777777" w:rsidR="004A3F3D" w:rsidRPr="00AA354C" w:rsidRDefault="004A3F3D" w:rsidP="000A6001">
            <w:pPr>
              <w:pStyle w:val="Default"/>
              <w:ind w:left="108"/>
              <w:jc w:val="center"/>
              <w:rPr>
                <w:rFonts w:ascii="Arial Unicode MS" w:eastAsia="Arial Unicode MS" w:hAnsi="Arial Unicode MS" w:cs="Arial Unicode MS"/>
                <w:b/>
                <w:iCs/>
                <w:color w:val="FFFFFF"/>
                <w:sz w:val="21"/>
                <w:szCs w:val="21"/>
              </w:rPr>
            </w:pPr>
          </w:p>
        </w:tc>
        <w:tc>
          <w:tcPr>
            <w:tcW w:w="3828" w:type="dxa"/>
            <w:shd w:val="clear" w:color="auto" w:fill="auto"/>
            <w:vAlign w:val="center"/>
          </w:tcPr>
          <w:p w14:paraId="77E513CA" w14:textId="77777777" w:rsidR="004A3F3D" w:rsidRPr="003243C5" w:rsidRDefault="004A3F3D" w:rsidP="000A6001">
            <w:pPr>
              <w:pStyle w:val="Default"/>
              <w:ind w:left="317"/>
              <w:jc w:val="center"/>
              <w:rPr>
                <w:rFonts w:ascii="Arial Unicode MS" w:eastAsia="Arial Unicode MS" w:hAnsi="Arial Unicode MS" w:cs="Arial Unicode MS"/>
                <w:sz w:val="21"/>
                <w:szCs w:val="21"/>
              </w:rPr>
            </w:pPr>
            <w:r w:rsidRPr="003243C5">
              <w:rPr>
                <w:rFonts w:ascii="Arial Unicode MS" w:eastAsia="Arial Unicode MS" w:hAnsi="Arial Unicode MS" w:cs="Arial Unicode MS"/>
                <w:iCs/>
                <w:sz w:val="21"/>
                <w:szCs w:val="21"/>
              </w:rPr>
              <w:t>Chronic malaria</w:t>
            </w:r>
          </w:p>
        </w:tc>
      </w:tr>
      <w:tr w:rsidR="004A3F3D" w:rsidRPr="00C61A6D" w14:paraId="29955182" w14:textId="77777777" w:rsidTr="003B7CD9">
        <w:tc>
          <w:tcPr>
            <w:tcW w:w="6096" w:type="dxa"/>
            <w:vMerge/>
            <w:shd w:val="clear" w:color="auto" w:fill="auto"/>
            <w:vAlign w:val="center"/>
          </w:tcPr>
          <w:p w14:paraId="5147B2EA" w14:textId="77777777" w:rsidR="004A3F3D" w:rsidRPr="00AA354C" w:rsidRDefault="004A3F3D" w:rsidP="000A6001">
            <w:pPr>
              <w:pStyle w:val="Default"/>
              <w:ind w:left="108"/>
              <w:jc w:val="center"/>
              <w:rPr>
                <w:rFonts w:ascii="Arial Unicode MS" w:eastAsia="Arial Unicode MS" w:hAnsi="Arial Unicode MS" w:cs="Arial Unicode MS"/>
                <w:b/>
                <w:iCs/>
                <w:color w:val="FFFFFF"/>
                <w:sz w:val="21"/>
                <w:szCs w:val="21"/>
              </w:rPr>
            </w:pPr>
          </w:p>
        </w:tc>
        <w:tc>
          <w:tcPr>
            <w:tcW w:w="3828" w:type="dxa"/>
            <w:shd w:val="clear" w:color="auto" w:fill="auto"/>
            <w:vAlign w:val="center"/>
          </w:tcPr>
          <w:p w14:paraId="46A7AC99" w14:textId="77777777" w:rsidR="004A3F3D" w:rsidRPr="003243C5" w:rsidRDefault="004A3F3D" w:rsidP="000A6001">
            <w:pPr>
              <w:pStyle w:val="Default"/>
              <w:ind w:left="317"/>
              <w:jc w:val="center"/>
              <w:rPr>
                <w:rFonts w:ascii="Arial Unicode MS" w:eastAsia="Arial Unicode MS" w:hAnsi="Arial Unicode MS" w:cs="Arial Unicode MS"/>
                <w:iCs/>
                <w:sz w:val="21"/>
                <w:szCs w:val="21"/>
              </w:rPr>
            </w:pPr>
            <w:r w:rsidRPr="003243C5">
              <w:rPr>
                <w:rFonts w:ascii="Arial Unicode MS" w:eastAsia="Arial Unicode MS" w:hAnsi="Arial Unicode MS" w:cs="Arial Unicode MS"/>
                <w:iCs/>
                <w:sz w:val="21"/>
                <w:szCs w:val="21"/>
              </w:rPr>
              <w:t>Aplastic anaemia</w:t>
            </w:r>
          </w:p>
        </w:tc>
      </w:tr>
    </w:tbl>
    <w:p w14:paraId="6064BF97" w14:textId="77777777" w:rsidR="004A3F3D" w:rsidRDefault="004A3F3D" w:rsidP="00AA354C">
      <w:pPr>
        <w:autoSpaceDE w:val="0"/>
        <w:autoSpaceDN w:val="0"/>
        <w:adjustRightInd w:val="0"/>
        <w:ind w:left="284" w:hanging="284"/>
        <w:jc w:val="both"/>
        <w:rPr>
          <w:color w:val="990033"/>
          <w:sz w:val="20"/>
        </w:rPr>
      </w:pPr>
    </w:p>
    <w:sectPr w:rsidR="004A3F3D" w:rsidSect="00B70CD0">
      <w:headerReference w:type="default" r:id="rId7"/>
      <w:footerReference w:type="default" r:id="rId8"/>
      <w:pgSz w:w="11906" w:h="16838" w:code="9"/>
      <w:pgMar w:top="1191" w:right="1134" w:bottom="1191" w:left="1134" w:header="397"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8F14D" w14:textId="77777777" w:rsidR="00E31267" w:rsidRDefault="00E31267">
      <w:pPr>
        <w:spacing w:after="0"/>
      </w:pPr>
      <w:r>
        <w:separator/>
      </w:r>
    </w:p>
  </w:endnote>
  <w:endnote w:type="continuationSeparator" w:id="0">
    <w:p w14:paraId="1F86D952" w14:textId="77777777" w:rsidR="00E31267" w:rsidRDefault="00E31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0B19" w14:textId="77777777" w:rsidR="00EA6A91" w:rsidRPr="00945DC7" w:rsidRDefault="00EA6A91">
    <w:pPr>
      <w:pStyle w:val="Footer"/>
      <w:jc w:val="right"/>
      <w:rPr>
        <w:sz w:val="16"/>
        <w:szCs w:val="16"/>
      </w:rPr>
    </w:pPr>
    <w:r w:rsidRPr="00945DC7">
      <w:rPr>
        <w:sz w:val="16"/>
        <w:szCs w:val="16"/>
      </w:rPr>
      <w:t xml:space="preserve">Page </w:t>
    </w:r>
    <w:r w:rsidRPr="00945DC7">
      <w:rPr>
        <w:b/>
        <w:bCs/>
        <w:sz w:val="16"/>
        <w:szCs w:val="16"/>
      </w:rPr>
      <w:fldChar w:fldCharType="begin"/>
    </w:r>
    <w:r w:rsidRPr="00945DC7">
      <w:rPr>
        <w:b/>
        <w:bCs/>
        <w:sz w:val="16"/>
        <w:szCs w:val="16"/>
      </w:rPr>
      <w:instrText xml:space="preserve"> PAGE </w:instrText>
    </w:r>
    <w:r w:rsidRPr="00945DC7">
      <w:rPr>
        <w:b/>
        <w:bCs/>
        <w:sz w:val="16"/>
        <w:szCs w:val="16"/>
      </w:rPr>
      <w:fldChar w:fldCharType="separate"/>
    </w:r>
    <w:r w:rsidR="00E02263">
      <w:rPr>
        <w:b/>
        <w:bCs/>
        <w:noProof/>
        <w:sz w:val="16"/>
        <w:szCs w:val="16"/>
      </w:rPr>
      <w:t>1</w:t>
    </w:r>
    <w:r w:rsidRPr="00945DC7">
      <w:rPr>
        <w:b/>
        <w:bCs/>
        <w:sz w:val="16"/>
        <w:szCs w:val="16"/>
      </w:rPr>
      <w:fldChar w:fldCharType="end"/>
    </w:r>
    <w:r w:rsidRPr="00945DC7">
      <w:rPr>
        <w:sz w:val="16"/>
        <w:szCs w:val="16"/>
      </w:rPr>
      <w:t xml:space="preserve"> of </w:t>
    </w:r>
    <w:r w:rsidRPr="00945DC7">
      <w:rPr>
        <w:b/>
        <w:bCs/>
        <w:sz w:val="16"/>
        <w:szCs w:val="16"/>
      </w:rPr>
      <w:fldChar w:fldCharType="begin"/>
    </w:r>
    <w:r w:rsidRPr="00945DC7">
      <w:rPr>
        <w:b/>
        <w:bCs/>
        <w:sz w:val="16"/>
        <w:szCs w:val="16"/>
      </w:rPr>
      <w:instrText xml:space="preserve"> NUMPAGES  </w:instrText>
    </w:r>
    <w:r w:rsidRPr="00945DC7">
      <w:rPr>
        <w:b/>
        <w:bCs/>
        <w:sz w:val="16"/>
        <w:szCs w:val="16"/>
      </w:rPr>
      <w:fldChar w:fldCharType="separate"/>
    </w:r>
    <w:r w:rsidR="00E02263">
      <w:rPr>
        <w:b/>
        <w:bCs/>
        <w:noProof/>
        <w:sz w:val="16"/>
        <w:szCs w:val="16"/>
      </w:rPr>
      <w:t>2</w:t>
    </w:r>
    <w:r w:rsidRPr="00945DC7">
      <w:rPr>
        <w:b/>
        <w:bCs/>
        <w:sz w:val="16"/>
        <w:szCs w:val="16"/>
      </w:rPr>
      <w:fldChar w:fldCharType="end"/>
    </w:r>
  </w:p>
  <w:p w14:paraId="6EAA7C45" w14:textId="77777777" w:rsidR="00EA6A91" w:rsidRDefault="00EA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20D56" w14:textId="77777777" w:rsidR="00E31267" w:rsidRDefault="00E31267">
      <w:pPr>
        <w:spacing w:after="0"/>
      </w:pPr>
      <w:r>
        <w:separator/>
      </w:r>
    </w:p>
  </w:footnote>
  <w:footnote w:type="continuationSeparator" w:id="0">
    <w:p w14:paraId="1FB3B33C" w14:textId="77777777" w:rsidR="00E31267" w:rsidRDefault="00E312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E5F8D" w14:textId="334C700A" w:rsidR="00CA2416" w:rsidRPr="00CA2416" w:rsidRDefault="00714F59" w:rsidP="00733D91">
    <w:pPr>
      <w:pStyle w:val="Header"/>
      <w:ind w:left="-567"/>
      <w:rPr>
        <w:sz w:val="18"/>
        <w:szCs w:val="18"/>
      </w:rPr>
    </w:pPr>
    <w:r w:rsidRPr="00CA2416">
      <w:rPr>
        <w:rFonts w:cs="Arial"/>
        <w:bCs/>
        <w:noProof/>
        <w:color w:val="000000"/>
        <w:sz w:val="18"/>
        <w:szCs w:val="18"/>
        <w:lang w:eastAsia="en-GB"/>
      </w:rPr>
      <w:drawing>
        <wp:anchor distT="0" distB="0" distL="114300" distR="114300" simplePos="0" relativeHeight="251659264" behindDoc="0" locked="0" layoutInCell="1" allowOverlap="1" wp14:anchorId="5C4129FA" wp14:editId="13E67FDC">
          <wp:simplePos x="0" y="0"/>
          <wp:positionH relativeFrom="column">
            <wp:posOffset>3550920</wp:posOffset>
          </wp:positionH>
          <wp:positionV relativeFrom="paragraph">
            <wp:posOffset>-201295</wp:posOffset>
          </wp:positionV>
          <wp:extent cx="3242818" cy="543464"/>
          <wp:effectExtent l="0" t="0" r="0" b="9525"/>
          <wp:wrapNone/>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2818" cy="543464"/>
                  </a:xfrm>
                  <a:prstGeom prst="rect">
                    <a:avLst/>
                  </a:prstGeom>
                  <a:noFill/>
                </pic:spPr>
              </pic:pic>
            </a:graphicData>
          </a:graphic>
          <wp14:sizeRelH relativeFrom="page">
            <wp14:pctWidth>0</wp14:pctWidth>
          </wp14:sizeRelH>
          <wp14:sizeRelV relativeFrom="page">
            <wp14:pctHeight>0</wp14:pctHeight>
          </wp14:sizeRelV>
        </wp:anchor>
      </w:drawing>
    </w:r>
    <w:r w:rsidRPr="00CA2416">
      <w:rPr>
        <w:sz w:val="18"/>
        <w:szCs w:val="18"/>
      </w:rPr>
      <w:t>Service: SHYPS / Clinical Biochemistry / York &amp; Scarbor</w:t>
    </w:r>
    <w:r w:rsidR="00CA2416" w:rsidRPr="00CA2416">
      <w:rPr>
        <w:sz w:val="18"/>
        <w:szCs w:val="18"/>
      </w:rPr>
      <w:t>ough</w:t>
    </w:r>
  </w:p>
  <w:p w14:paraId="4124D8A8" w14:textId="71294D65" w:rsidR="00CA2416" w:rsidRPr="007906F9" w:rsidRDefault="00CA2416" w:rsidP="00CA2416">
    <w:pPr>
      <w:pStyle w:val="Header"/>
      <w:ind w:left="-567"/>
      <w:rPr>
        <w:rFonts w:cs="Arial"/>
        <w:color w:val="548DD4"/>
        <w:sz w:val="18"/>
        <w:szCs w:val="18"/>
      </w:rPr>
    </w:pPr>
    <w:r w:rsidRPr="007906F9">
      <w:rPr>
        <w:sz w:val="18"/>
        <w:szCs w:val="18"/>
      </w:rPr>
      <w:t>Filename: CB-INF-DM</w:t>
    </w:r>
    <w:r>
      <w:rPr>
        <w:sz w:val="18"/>
        <w:szCs w:val="18"/>
      </w:rPr>
      <w:t>MON</w:t>
    </w:r>
  </w:p>
  <w:p w14:paraId="3D987235" w14:textId="77777777" w:rsidR="00CA2416" w:rsidRPr="007906F9" w:rsidRDefault="00CA2416" w:rsidP="00CA2416">
    <w:pPr>
      <w:pStyle w:val="Header"/>
      <w:ind w:left="-567"/>
      <w:rPr>
        <w:sz w:val="18"/>
        <w:szCs w:val="18"/>
      </w:rPr>
    </w:pPr>
    <w:r w:rsidRPr="007906F9">
      <w:rPr>
        <w:sz w:val="18"/>
        <w:szCs w:val="18"/>
      </w:rPr>
      <w:t>Version: 2.0</w:t>
    </w:r>
  </w:p>
  <w:p w14:paraId="1C62388B" w14:textId="77777777" w:rsidR="00CA2416" w:rsidRPr="007906F9" w:rsidRDefault="00CA2416" w:rsidP="00CA2416">
    <w:pPr>
      <w:pStyle w:val="Header"/>
      <w:ind w:left="-567"/>
      <w:rPr>
        <w:sz w:val="18"/>
        <w:szCs w:val="18"/>
      </w:rPr>
    </w:pPr>
    <w:r w:rsidRPr="007906F9">
      <w:rPr>
        <w:sz w:val="18"/>
        <w:szCs w:val="18"/>
      </w:rPr>
      <w:t>Date of Issue: October 2022</w:t>
    </w:r>
  </w:p>
  <w:p w14:paraId="26CDD303" w14:textId="7F1FE570" w:rsidR="00CA2416" w:rsidRPr="00733D91" w:rsidRDefault="00CA2416" w:rsidP="00CA2416">
    <w:pPr>
      <w:pStyle w:val="Header"/>
      <w:ind w:left="-567"/>
      <w:rPr>
        <w:sz w:val="16"/>
        <w:szCs w:val="16"/>
      </w:rPr>
    </w:pPr>
    <w:r w:rsidRPr="007906F9">
      <w:rPr>
        <w:sz w:val="18"/>
        <w:szCs w:val="18"/>
      </w:rPr>
      <w:t>Owner: Alison Jones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C57D7"/>
    <w:multiLevelType w:val="multilevel"/>
    <w:tmpl w:val="91E43FE6"/>
    <w:lvl w:ilvl="0">
      <w:start w:val="1"/>
      <w:numFmt w:val="decimal"/>
      <w:lvlText w:val="%1"/>
      <w:lvlJc w:val="left"/>
      <w:pPr>
        <w:tabs>
          <w:tab w:val="num" w:pos="432"/>
        </w:tabs>
        <w:ind w:left="432"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6FC4923"/>
    <w:multiLevelType w:val="hybridMultilevel"/>
    <w:tmpl w:val="090A206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06"/>
    <w:rsid w:val="00162687"/>
    <w:rsid w:val="002E5CD4"/>
    <w:rsid w:val="00302DE8"/>
    <w:rsid w:val="00304A80"/>
    <w:rsid w:val="003B7CD9"/>
    <w:rsid w:val="00416FC1"/>
    <w:rsid w:val="0045480B"/>
    <w:rsid w:val="004A3F3D"/>
    <w:rsid w:val="00517DD0"/>
    <w:rsid w:val="00642B14"/>
    <w:rsid w:val="00714F59"/>
    <w:rsid w:val="00733D91"/>
    <w:rsid w:val="00766CB3"/>
    <w:rsid w:val="00864EB7"/>
    <w:rsid w:val="00882288"/>
    <w:rsid w:val="008E3BF1"/>
    <w:rsid w:val="00945DC7"/>
    <w:rsid w:val="009C4E71"/>
    <w:rsid w:val="00A000CF"/>
    <w:rsid w:val="00A470DF"/>
    <w:rsid w:val="00A57BCA"/>
    <w:rsid w:val="00AA354C"/>
    <w:rsid w:val="00B255B9"/>
    <w:rsid w:val="00B70CD0"/>
    <w:rsid w:val="00B97313"/>
    <w:rsid w:val="00C13174"/>
    <w:rsid w:val="00CA2416"/>
    <w:rsid w:val="00CA5304"/>
    <w:rsid w:val="00CA6006"/>
    <w:rsid w:val="00CD338C"/>
    <w:rsid w:val="00CF3567"/>
    <w:rsid w:val="00E02263"/>
    <w:rsid w:val="00E04F10"/>
    <w:rsid w:val="00E31267"/>
    <w:rsid w:val="00E42452"/>
    <w:rsid w:val="00E46670"/>
    <w:rsid w:val="00EA6A91"/>
    <w:rsid w:val="00EB1CB6"/>
    <w:rsid w:val="00F44BFD"/>
    <w:rsid w:val="00F51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F520E1"/>
  <w15:docId w15:val="{FCD07A70-B1F8-44A8-8E5F-8DC7762D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006"/>
    <w:pPr>
      <w:spacing w:after="120"/>
    </w:pPr>
    <w:rPr>
      <w:rFonts w:ascii="Arial" w:hAnsi="Arial"/>
      <w:sz w:val="22"/>
      <w:lang w:eastAsia="en-US"/>
    </w:rPr>
  </w:style>
  <w:style w:type="paragraph" w:styleId="Heading1">
    <w:name w:val="heading 1"/>
    <w:basedOn w:val="Normal"/>
    <w:next w:val="Normal"/>
    <w:autoRedefine/>
    <w:qFormat/>
    <w:rsid w:val="00EB1CB6"/>
    <w:pPr>
      <w:keepNext/>
      <w:spacing w:before="240"/>
      <w:jc w:val="both"/>
      <w:outlineLvl w:val="0"/>
    </w:pPr>
    <w:rPr>
      <w:rFonts w:cs="Arial"/>
      <w:b/>
      <w:sz w:val="24"/>
      <w:lang w:val="en-US"/>
    </w:rPr>
  </w:style>
  <w:style w:type="paragraph" w:styleId="Heading2">
    <w:name w:val="heading 2"/>
    <w:basedOn w:val="Normal"/>
    <w:next w:val="Normal"/>
    <w:autoRedefine/>
    <w:qFormat/>
    <w:rsid w:val="00CA6006"/>
    <w:pPr>
      <w:keepNext/>
      <w:numPr>
        <w:ilvl w:val="1"/>
        <w:numId w:val="1"/>
      </w:numPr>
      <w:spacing w:before="120" w:after="60"/>
      <w:ind w:left="578" w:hanging="578"/>
      <w:outlineLvl w:val="1"/>
    </w:pPr>
    <w:rPr>
      <w:rFonts w:cs="Arial"/>
      <w:szCs w:val="22"/>
    </w:rPr>
  </w:style>
  <w:style w:type="paragraph" w:styleId="Heading3">
    <w:name w:val="heading 3"/>
    <w:basedOn w:val="Normal"/>
    <w:next w:val="Normal"/>
    <w:autoRedefine/>
    <w:qFormat/>
    <w:rsid w:val="00CA6006"/>
    <w:pPr>
      <w:keepNext/>
      <w:numPr>
        <w:ilvl w:val="2"/>
        <w:numId w:val="1"/>
      </w:numPr>
      <w:spacing w:before="120" w:after="60"/>
      <w:outlineLvl w:val="2"/>
    </w:pPr>
    <w:rPr>
      <w:szCs w:val="22"/>
    </w:rPr>
  </w:style>
  <w:style w:type="paragraph" w:styleId="Heading4">
    <w:name w:val="heading 4"/>
    <w:basedOn w:val="Normal"/>
    <w:next w:val="Normal"/>
    <w:qFormat/>
    <w:rsid w:val="00CA6006"/>
    <w:pPr>
      <w:keepNext/>
      <w:numPr>
        <w:ilvl w:val="3"/>
        <w:numId w:val="1"/>
      </w:numPr>
      <w:spacing w:before="240" w:after="60"/>
      <w:outlineLvl w:val="3"/>
    </w:pPr>
    <w:rPr>
      <w:b/>
      <w:sz w:val="24"/>
    </w:rPr>
  </w:style>
  <w:style w:type="paragraph" w:styleId="Heading6">
    <w:name w:val="heading 6"/>
    <w:basedOn w:val="Normal"/>
    <w:next w:val="Normal"/>
    <w:qFormat/>
    <w:rsid w:val="00CA6006"/>
    <w:pPr>
      <w:keepNext/>
      <w:numPr>
        <w:ilvl w:val="5"/>
        <w:numId w:val="1"/>
      </w:numPr>
      <w:jc w:val="center"/>
      <w:outlineLvl w:val="5"/>
    </w:pPr>
    <w:rPr>
      <w:sz w:val="44"/>
    </w:rPr>
  </w:style>
  <w:style w:type="paragraph" w:styleId="Heading7">
    <w:name w:val="heading 7"/>
    <w:basedOn w:val="Normal"/>
    <w:next w:val="Normal"/>
    <w:qFormat/>
    <w:rsid w:val="00CA6006"/>
    <w:pPr>
      <w:numPr>
        <w:ilvl w:val="6"/>
        <w:numId w:val="1"/>
      </w:numPr>
      <w:spacing w:before="240" w:after="60"/>
      <w:outlineLvl w:val="6"/>
    </w:pPr>
    <w:rPr>
      <w:sz w:val="24"/>
      <w:szCs w:val="24"/>
    </w:rPr>
  </w:style>
  <w:style w:type="paragraph" w:styleId="Heading8">
    <w:name w:val="heading 8"/>
    <w:basedOn w:val="Normal"/>
    <w:next w:val="Normal"/>
    <w:qFormat/>
    <w:rsid w:val="00CA6006"/>
    <w:pPr>
      <w:numPr>
        <w:ilvl w:val="7"/>
        <w:numId w:val="1"/>
      </w:numPr>
      <w:spacing w:before="240" w:after="60"/>
      <w:outlineLvl w:val="7"/>
    </w:pPr>
    <w:rPr>
      <w:i/>
      <w:iCs/>
      <w:sz w:val="24"/>
      <w:szCs w:val="24"/>
    </w:rPr>
  </w:style>
  <w:style w:type="paragraph" w:styleId="Heading9">
    <w:name w:val="heading 9"/>
    <w:basedOn w:val="Normal"/>
    <w:next w:val="Normal"/>
    <w:qFormat/>
    <w:rsid w:val="00CA600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600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1CB6"/>
    <w:pPr>
      <w:tabs>
        <w:tab w:val="center" w:pos="4153"/>
        <w:tab w:val="right" w:pos="8306"/>
      </w:tabs>
      <w:spacing w:after="0"/>
    </w:pPr>
    <w:rPr>
      <w:sz w:val="24"/>
      <w:szCs w:val="24"/>
    </w:rPr>
  </w:style>
  <w:style w:type="paragraph" w:styleId="Footer">
    <w:name w:val="footer"/>
    <w:basedOn w:val="Normal"/>
    <w:link w:val="FooterChar"/>
    <w:uiPriority w:val="99"/>
    <w:rsid w:val="00EA6A91"/>
    <w:pPr>
      <w:tabs>
        <w:tab w:val="center" w:pos="4513"/>
        <w:tab w:val="right" w:pos="9026"/>
      </w:tabs>
    </w:pPr>
  </w:style>
  <w:style w:type="character" w:customStyle="1" w:styleId="FooterChar">
    <w:name w:val="Footer Char"/>
    <w:link w:val="Footer"/>
    <w:uiPriority w:val="99"/>
    <w:rsid w:val="00EA6A91"/>
    <w:rPr>
      <w:rFonts w:ascii="Arial" w:hAnsi="Arial"/>
      <w:sz w:val="22"/>
      <w:lang w:eastAsia="en-US"/>
    </w:rPr>
  </w:style>
  <w:style w:type="character" w:customStyle="1" w:styleId="HeaderChar">
    <w:name w:val="Header Char"/>
    <w:link w:val="Header"/>
    <w:uiPriority w:val="99"/>
    <w:rsid w:val="00EA6A91"/>
    <w:rPr>
      <w:rFonts w:ascii="Arial" w:hAnsi="Arial"/>
      <w:sz w:val="24"/>
      <w:szCs w:val="24"/>
      <w:lang w:eastAsia="en-US"/>
    </w:rPr>
  </w:style>
  <w:style w:type="paragraph" w:customStyle="1" w:styleId="Default">
    <w:name w:val="Default"/>
    <w:rsid w:val="00AA354C"/>
    <w:pPr>
      <w:autoSpaceDE w:val="0"/>
      <w:autoSpaceDN w:val="0"/>
      <w:adjustRightInd w:val="0"/>
    </w:pPr>
    <w:rPr>
      <w:rFonts w:ascii="Calibri" w:hAnsi="Calibri" w:cs="Calibri"/>
      <w:color w:val="000000"/>
      <w:sz w:val="24"/>
      <w:szCs w:val="24"/>
    </w:rPr>
  </w:style>
  <w:style w:type="character" w:styleId="EndnoteReference">
    <w:name w:val="endnote reference"/>
    <w:rsid w:val="00AA354C"/>
    <w:rPr>
      <w:vertAlign w:val="superscript"/>
    </w:rPr>
  </w:style>
  <w:style w:type="character" w:styleId="Hyperlink">
    <w:name w:val="Hyperlink"/>
    <w:basedOn w:val="DefaultParagraphFont"/>
    <w:rsid w:val="00733D91"/>
    <w:rPr>
      <w:color w:val="0000FF" w:themeColor="hyperlink"/>
      <w:u w:val="single"/>
    </w:rPr>
  </w:style>
  <w:style w:type="paragraph" w:styleId="NoSpacing">
    <w:name w:val="No Spacing"/>
    <w:uiPriority w:val="1"/>
    <w:qFormat/>
    <w:rsid w:val="003B7CD9"/>
    <w:rPr>
      <w:rFonts w:ascii="Arial" w:hAnsi="Arial"/>
      <w:sz w:val="22"/>
      <w:lang w:eastAsia="en-US"/>
    </w:rPr>
  </w:style>
  <w:style w:type="paragraph" w:styleId="BalloonText">
    <w:name w:val="Balloon Text"/>
    <w:basedOn w:val="Normal"/>
    <w:link w:val="BalloonTextChar"/>
    <w:rsid w:val="009C4E71"/>
    <w:pPr>
      <w:spacing w:after="0"/>
    </w:pPr>
    <w:rPr>
      <w:rFonts w:ascii="Tahoma" w:hAnsi="Tahoma" w:cs="Tahoma"/>
      <w:sz w:val="16"/>
      <w:szCs w:val="16"/>
    </w:rPr>
  </w:style>
  <w:style w:type="character" w:customStyle="1" w:styleId="BalloonTextChar">
    <w:name w:val="Balloon Text Char"/>
    <w:basedOn w:val="DefaultParagraphFont"/>
    <w:link w:val="BalloonText"/>
    <w:rsid w:val="009C4E7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2875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Directorate of Laboratory Medicine/ Scarborough Transfusion Dept</vt:lpstr>
    </vt:vector>
  </TitlesOfParts>
  <Company>Scarborough NHS Trust</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 of Laboratory Medicine/ Scarborough Transfusion Dept</dc:title>
  <dc:creator>jdavy</dc:creator>
  <cp:lastModifiedBy>LOVIE, Richard (YORK TEACHING HOSPITAL NHS FOUNDATION TRUST)</cp:lastModifiedBy>
  <cp:revision>2</cp:revision>
  <cp:lastPrinted>2022-10-14T08:19:00Z</cp:lastPrinted>
  <dcterms:created xsi:type="dcterms:W3CDTF">2022-10-31T16:35:00Z</dcterms:created>
  <dcterms:modified xsi:type="dcterms:W3CDTF">2022-10-31T16:35:00Z</dcterms:modified>
</cp:coreProperties>
</file>