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56C54" w14:textId="53E4B807" w:rsidR="008A2F33" w:rsidRPr="008A2F33" w:rsidRDefault="00CB2A3E" w:rsidP="00C95E13">
      <w:bookmarkStart w:id="0" w:name="_GoBack"/>
      <w:bookmarkEnd w:id="0"/>
      <w:r w:rsidRPr="00B6562C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0" locked="0" layoutInCell="1" allowOverlap="1" wp14:anchorId="0DDE014F" wp14:editId="01B2C789">
            <wp:simplePos x="0" y="0"/>
            <wp:positionH relativeFrom="column">
              <wp:posOffset>8276590</wp:posOffset>
            </wp:positionH>
            <wp:positionV relativeFrom="page">
              <wp:posOffset>832485</wp:posOffset>
            </wp:positionV>
            <wp:extent cx="1363345" cy="588010"/>
            <wp:effectExtent l="0" t="0" r="825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45613" wp14:editId="0874BE3C">
                <wp:simplePos x="0" y="0"/>
                <wp:positionH relativeFrom="column">
                  <wp:posOffset>8353425</wp:posOffset>
                </wp:positionH>
                <wp:positionV relativeFrom="paragraph">
                  <wp:posOffset>-988060</wp:posOffset>
                </wp:positionV>
                <wp:extent cx="1409700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7B483" w14:textId="34E30842" w:rsidR="00CB2A3E" w:rsidRPr="00CB2A3E" w:rsidRDefault="00CB2A3E">
                            <w:pP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 w:rsidRPr="00CB2A3E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  <w:t>H2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7.75pt;margin-top:-77.8pt;width:111pt;height:8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" filled="f" stroked="f" strokeweight=".5pt">
                <v:textbox>
                  <w:txbxContent>
                    <w:p w14:paraId="0E67B483" w14:textId="34E30842" w:rsidR="00CB2A3E" w:rsidRPr="00CB2A3E" w:rsidRDefault="00CB2A3E">
                      <w:pPr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 w:rsidRPr="00CB2A3E"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  <w:t>H2</w:t>
                      </w:r>
                    </w:p>
                  </w:txbxContent>
                </v:textbox>
              </v:shape>
            </w:pict>
          </mc:Fallback>
        </mc:AlternateContent>
      </w:r>
    </w:p>
    <w:p w14:paraId="5B6C52F5" w14:textId="2BA6B069" w:rsidR="008A2F33" w:rsidRPr="008A2F33" w:rsidRDefault="008A2F33">
      <w:pPr>
        <w:rPr>
          <w:b/>
        </w:rPr>
      </w:pPr>
      <w:r w:rsidRPr="008A2F33">
        <w:rPr>
          <w:b/>
        </w:rPr>
        <w:t xml:space="preserve">CHAIR’S LOG:  </w:t>
      </w:r>
      <w:r w:rsidR="009809D6">
        <w:rPr>
          <w:b/>
        </w:rPr>
        <w:t>Assurance summary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807"/>
        <w:gridCol w:w="5954"/>
        <w:gridCol w:w="3685"/>
      </w:tblGrid>
      <w:tr w:rsidR="00DF34F7" w14:paraId="28D8F33D" w14:textId="77777777" w:rsidTr="00842F79">
        <w:tc>
          <w:tcPr>
            <w:tcW w:w="5807" w:type="dxa"/>
            <w:shd w:val="clear" w:color="auto" w:fill="D9D9D9" w:themeFill="background1" w:themeFillShade="D9"/>
          </w:tcPr>
          <w:p w14:paraId="1FEEB0B1" w14:textId="1FFE8480" w:rsidR="00DF34F7" w:rsidRPr="008A2F33" w:rsidRDefault="00DF34F7">
            <w:pPr>
              <w:rPr>
                <w:b/>
              </w:rPr>
            </w:pPr>
            <w:r>
              <w:rPr>
                <w:b/>
              </w:rPr>
              <w:t>Resources Assurance Committee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5B75B5E" w14:textId="41B74B63" w:rsidR="00DF34F7" w:rsidRPr="008A2F33" w:rsidRDefault="00DF34F7">
            <w:pPr>
              <w:rPr>
                <w:b/>
              </w:rPr>
            </w:pPr>
            <w:r>
              <w:rPr>
                <w:b/>
              </w:rPr>
              <w:t>Chair: Lynne Mellor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639013C" w14:textId="050F0FEB" w:rsidR="00DF34F7" w:rsidRPr="008A2F33" w:rsidRDefault="00DF34F7">
            <w:pPr>
              <w:rPr>
                <w:b/>
              </w:rPr>
            </w:pPr>
            <w:r w:rsidRPr="008A2F33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="000E0B2B">
              <w:rPr>
                <w:b/>
              </w:rPr>
              <w:t>1</w:t>
            </w:r>
            <w:r w:rsidR="005D26EF">
              <w:rPr>
                <w:b/>
              </w:rPr>
              <w:t>8 January</w:t>
            </w:r>
            <w:r>
              <w:rPr>
                <w:b/>
              </w:rPr>
              <w:t xml:space="preserve"> 202</w:t>
            </w:r>
            <w:r w:rsidR="005D26EF">
              <w:rPr>
                <w:b/>
              </w:rPr>
              <w:t>2</w:t>
            </w:r>
          </w:p>
        </w:tc>
      </w:tr>
    </w:tbl>
    <w:p w14:paraId="25F844A0" w14:textId="77777777" w:rsidR="008A2F33" w:rsidRDefault="008A2F33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44"/>
        <w:gridCol w:w="70"/>
        <w:gridCol w:w="1627"/>
        <w:gridCol w:w="816"/>
        <w:gridCol w:w="3587"/>
        <w:gridCol w:w="850"/>
        <w:gridCol w:w="696"/>
        <w:gridCol w:w="515"/>
        <w:gridCol w:w="1867"/>
        <w:gridCol w:w="142"/>
        <w:gridCol w:w="370"/>
        <w:gridCol w:w="867"/>
        <w:gridCol w:w="1326"/>
        <w:gridCol w:w="651"/>
        <w:gridCol w:w="1360"/>
      </w:tblGrid>
      <w:tr w:rsidR="00FA0ED1" w14:paraId="0ABA047B" w14:textId="77777777" w:rsidTr="003E42A7">
        <w:tc>
          <w:tcPr>
            <w:tcW w:w="2130" w:type="dxa"/>
            <w:gridSpan w:val="3"/>
            <w:shd w:val="clear" w:color="auto" w:fill="D9D9D9" w:themeFill="background1" w:themeFillShade="D9"/>
            <w:vAlign w:val="center"/>
          </w:tcPr>
          <w:p w14:paraId="35F28C58" w14:textId="1E7F0FAD" w:rsidR="00AE6C53" w:rsidRDefault="00AE6C53" w:rsidP="008A2F33">
            <w:pPr>
              <w:jc w:val="center"/>
              <w:rPr>
                <w:b/>
              </w:rPr>
            </w:pPr>
            <w:r w:rsidRPr="008A2F33">
              <w:rPr>
                <w:b/>
              </w:rPr>
              <w:t>Agenda Item</w:t>
            </w:r>
          </w:p>
        </w:tc>
        <w:tc>
          <w:tcPr>
            <w:tcW w:w="9916" w:type="dxa"/>
            <w:gridSpan w:val="9"/>
            <w:shd w:val="clear" w:color="auto" w:fill="D9D9D9" w:themeFill="background1" w:themeFillShade="D9"/>
            <w:vAlign w:val="center"/>
          </w:tcPr>
          <w:p w14:paraId="4453A86C" w14:textId="5B6B1431" w:rsidR="00AE6C53" w:rsidRPr="008A2F33" w:rsidRDefault="00AE6C53" w:rsidP="008A2F33">
            <w:pPr>
              <w:jc w:val="center"/>
              <w:rPr>
                <w:b/>
              </w:rPr>
            </w:pPr>
            <w:r>
              <w:rPr>
                <w:b/>
              </w:rPr>
              <w:t>Summary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58710396" w14:textId="6F9C01D8" w:rsidR="00AE6C53" w:rsidRPr="008A2F33" w:rsidRDefault="00AE6C53" w:rsidP="00AA5E23">
            <w:pPr>
              <w:rPr>
                <w:b/>
              </w:rPr>
            </w:pPr>
            <w:r w:rsidRPr="008A2F33">
              <w:rPr>
                <w:b/>
              </w:rPr>
              <w:t>Receiving Body</w:t>
            </w:r>
            <w:r w:rsidR="00AA5E23">
              <w:rPr>
                <w:b/>
              </w:rPr>
              <w:t>:</w:t>
            </w:r>
          </w:p>
          <w:p w14:paraId="10CB6DFE" w14:textId="77777777" w:rsidR="00AA5E23" w:rsidRDefault="00AE6C53" w:rsidP="00AA5E23">
            <w:pPr>
              <w:rPr>
                <w:b/>
              </w:rPr>
            </w:pPr>
            <w:r w:rsidRPr="008A2F33">
              <w:rPr>
                <w:b/>
              </w:rPr>
              <w:t>Board</w:t>
            </w:r>
            <w:r w:rsidR="00AA5E23">
              <w:rPr>
                <w:b/>
              </w:rPr>
              <w:t>/</w:t>
            </w:r>
          </w:p>
          <w:p w14:paraId="02A36EDB" w14:textId="693E2983" w:rsidR="00AE6C53" w:rsidRPr="008A2F33" w:rsidRDefault="00AE6C53" w:rsidP="00AA5E23">
            <w:pPr>
              <w:rPr>
                <w:b/>
              </w:rPr>
            </w:pPr>
            <w:r w:rsidRPr="008A2F33">
              <w:rPr>
                <w:b/>
              </w:rPr>
              <w:t>Committee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</w:tcPr>
          <w:p w14:paraId="20B2B769" w14:textId="77777777" w:rsidR="00AE6C53" w:rsidRDefault="00AE6C53" w:rsidP="00251147">
            <w:pPr>
              <w:rPr>
                <w:b/>
              </w:rPr>
            </w:pPr>
            <w:r>
              <w:rPr>
                <w:b/>
              </w:rPr>
              <w:t>Recommendation/</w:t>
            </w:r>
          </w:p>
          <w:p w14:paraId="52E08779" w14:textId="5FC4EC86" w:rsidR="00AE6C53" w:rsidRPr="008A2F33" w:rsidRDefault="00AE6C53" w:rsidP="00251147">
            <w:pPr>
              <w:rPr>
                <w:b/>
              </w:rPr>
            </w:pPr>
            <w:r w:rsidRPr="008A2F33">
              <w:rPr>
                <w:b/>
              </w:rPr>
              <w:t xml:space="preserve">Assurance to </w:t>
            </w:r>
            <w:r>
              <w:rPr>
                <w:b/>
              </w:rPr>
              <w:t xml:space="preserve">the </w:t>
            </w:r>
            <w:r w:rsidRPr="008A2F33">
              <w:rPr>
                <w:b/>
              </w:rPr>
              <w:t>receiving body</w:t>
            </w:r>
            <w:r>
              <w:rPr>
                <w:b/>
              </w:rPr>
              <w:t xml:space="preserve">: </w:t>
            </w:r>
            <w:r w:rsidRPr="00AE6C53">
              <w:rPr>
                <w:b/>
                <w:sz w:val="18"/>
                <w:szCs w:val="18"/>
              </w:rPr>
              <w:t>Information, Action, Decision</w:t>
            </w:r>
          </w:p>
        </w:tc>
      </w:tr>
      <w:tr w:rsidR="00B66645" w14:paraId="609E69A8" w14:textId="77777777" w:rsidTr="00694061">
        <w:tc>
          <w:tcPr>
            <w:tcW w:w="15388" w:type="dxa"/>
            <w:gridSpan w:val="15"/>
          </w:tcPr>
          <w:p w14:paraId="01BA3C0D" w14:textId="65CF792C" w:rsidR="00B66645" w:rsidRPr="00DB5E65" w:rsidRDefault="00B66645" w:rsidP="00B66645">
            <w:pPr>
              <w:rPr>
                <w:rFonts w:ascii="Arial" w:eastAsia="Calibri" w:hAnsi="Arial" w:cs="Arial"/>
                <w:b/>
                <w:bCs/>
                <w:noProof/>
                <w:color w:val="0072C6"/>
                <w:lang w:eastAsia="en-GB"/>
              </w:rPr>
            </w:pPr>
            <w:r w:rsidRPr="00DB5E65">
              <w:rPr>
                <w:rFonts w:ascii="Arial" w:eastAsia="Calibri" w:hAnsi="Arial" w:cs="Arial"/>
                <w:b/>
                <w:bCs/>
                <w:noProof/>
                <w:color w:val="0072C6"/>
                <w:lang w:eastAsia="en-GB"/>
              </w:rPr>
              <w:t>Workforce and OD</w:t>
            </w:r>
          </w:p>
        </w:tc>
      </w:tr>
      <w:tr w:rsidR="00AA5E23" w14:paraId="54FBD601" w14:textId="77777777" w:rsidTr="003E42A7">
        <w:tc>
          <w:tcPr>
            <w:tcW w:w="492" w:type="dxa"/>
            <w:gridSpan w:val="2"/>
          </w:tcPr>
          <w:p w14:paraId="694C5CBF" w14:textId="090CA235" w:rsidR="00B66645" w:rsidRPr="00E2759C" w:rsidRDefault="00FA0ED1">
            <w:pPr>
              <w:rPr>
                <w:b/>
                <w:bCs/>
                <w:sz w:val="20"/>
                <w:szCs w:val="20"/>
              </w:rPr>
            </w:pPr>
            <w:r w:rsidRPr="00E2759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38" w:type="dxa"/>
          </w:tcPr>
          <w:p w14:paraId="318EF3D7" w14:textId="0A291D1D" w:rsidR="00B66645" w:rsidRPr="00E2759C" w:rsidRDefault="004823B7" w:rsidP="00B66645">
            <w:pPr>
              <w:rPr>
                <w:b/>
                <w:bCs/>
                <w:sz w:val="20"/>
                <w:szCs w:val="20"/>
              </w:rPr>
            </w:pPr>
            <w:r w:rsidRPr="00E2759C">
              <w:rPr>
                <w:b/>
                <w:bCs/>
                <w:sz w:val="20"/>
                <w:szCs w:val="20"/>
              </w:rPr>
              <w:t>IBR</w:t>
            </w:r>
          </w:p>
        </w:tc>
        <w:tc>
          <w:tcPr>
            <w:tcW w:w="9916" w:type="dxa"/>
            <w:gridSpan w:val="9"/>
          </w:tcPr>
          <w:p w14:paraId="32B54A50" w14:textId="12D2B9F0" w:rsidR="00B66645" w:rsidRDefault="00FB61B6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 xml:space="preserve">The </w:t>
            </w:r>
            <w:r w:rsidR="00FA0ED1">
              <w:t xml:space="preserve">Committee noted </w:t>
            </w:r>
            <w:r>
              <w:t xml:space="preserve">the issue of </w:t>
            </w:r>
            <w:r w:rsidR="00FA0ED1">
              <w:t>staff absences</w:t>
            </w:r>
            <w:r>
              <w:t>,</w:t>
            </w:r>
            <w:r w:rsidR="00FA0ED1">
              <w:t xml:space="preserve"> influenced in particular by the consequences of the current</w:t>
            </w:r>
            <w:r>
              <w:t xml:space="preserve"> </w:t>
            </w:r>
            <w:r w:rsidR="00FA0ED1">
              <w:t>Covid wave.</w:t>
            </w:r>
            <w:r w:rsidR="00CD6526">
              <w:t xml:space="preserve"> Staff absences were at 9.3% last week and </w:t>
            </w:r>
            <w:r w:rsidR="00A16D85">
              <w:t>by</w:t>
            </w:r>
            <w:r w:rsidR="00CD6526">
              <w:t xml:space="preserve"> 17 January down to 8.1%</w:t>
            </w:r>
            <w:r w:rsidR="00A16D85">
              <w:t>;</w:t>
            </w:r>
            <w:r w:rsidR="00CD6526">
              <w:t xml:space="preserve"> however</w:t>
            </w:r>
            <w:r w:rsidR="00AA05E0">
              <w:t>,</w:t>
            </w:r>
            <w:r w:rsidR="00CD6526">
              <w:t xml:space="preserve"> Covid cases during the same period were up, from 15% to 17%. </w:t>
            </w:r>
            <w:r w:rsidR="00D05C72">
              <w:t>Compounding problems</w:t>
            </w:r>
            <w:r>
              <w:t xml:space="preserve"> further, is the lack of compliance to the process of recording</w:t>
            </w:r>
            <w:r w:rsidR="00CD6526">
              <w:t xml:space="preserve"> an individual’s return to work</w:t>
            </w:r>
            <w:r w:rsidR="00D05C72">
              <w:t xml:space="preserve"> </w:t>
            </w:r>
            <w:r>
              <w:t>– which is skewing the data accuracy i.e., the main issue being</w:t>
            </w:r>
            <w:r w:rsidR="00880147">
              <w:t xml:space="preserve"> the</w:t>
            </w:r>
            <w:r>
              <w:t xml:space="preserve"> </w:t>
            </w:r>
            <w:r w:rsidR="00880147" w:rsidRPr="00880147">
              <w:rPr>
                <w:i/>
                <w:iCs/>
              </w:rPr>
              <w:t xml:space="preserve">potential </w:t>
            </w:r>
            <w:r w:rsidR="00880147" w:rsidRPr="00880147">
              <w:t>for staff not to be removed once they have returned from leave</w:t>
            </w:r>
            <w:r w:rsidR="00D05C72">
              <w:t xml:space="preserve"> in a timely fashion</w:t>
            </w:r>
            <w:r w:rsidR="00CD6526">
              <w:t xml:space="preserve">. The Committee </w:t>
            </w:r>
            <w:r w:rsidR="00D05C72">
              <w:t>wa</w:t>
            </w:r>
            <w:r w:rsidR="00CD6526">
              <w:t xml:space="preserve">s assured </w:t>
            </w:r>
            <w:proofErr w:type="gramStart"/>
            <w:r w:rsidR="00CD6526">
              <w:t>staff are</w:t>
            </w:r>
            <w:proofErr w:type="gramEnd"/>
            <w:r w:rsidR="00CD6526">
              <w:t xml:space="preserve"> </w:t>
            </w:r>
            <w:r w:rsidR="00D05C72">
              <w:t xml:space="preserve">being constantly </w:t>
            </w:r>
            <w:r w:rsidR="00CD6526">
              <w:t xml:space="preserve">reminded to follow the </w:t>
            </w:r>
            <w:r w:rsidR="00D60C93">
              <w:t>return-to-work</w:t>
            </w:r>
            <w:r w:rsidR="00CD6526">
              <w:t xml:space="preserve"> process. </w:t>
            </w:r>
          </w:p>
          <w:p w14:paraId="636C33A9" w14:textId="77439664" w:rsidR="00F37A4B" w:rsidRDefault="00F37A4B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 xml:space="preserve">Staff </w:t>
            </w:r>
            <w:r w:rsidR="006F7083">
              <w:t>well-being</w:t>
            </w:r>
            <w:r>
              <w:t xml:space="preserve"> and mental health</w:t>
            </w:r>
            <w:r w:rsidR="006F7083">
              <w:t xml:space="preserve"> issues were</w:t>
            </w:r>
            <w:r>
              <w:t xml:space="preserve"> also discussed and </w:t>
            </w:r>
            <w:r w:rsidR="00D60C93">
              <w:t>the Committee asks the</w:t>
            </w:r>
            <w:r>
              <w:t xml:space="preserve"> Board to </w:t>
            </w:r>
            <w:r w:rsidR="00D60C93">
              <w:t>consider how we further recognise all staff given we are in the midst of yet another wave of the pandemic.</w:t>
            </w:r>
          </w:p>
          <w:p w14:paraId="3D18B808" w14:textId="77777777" w:rsidR="00567C73" w:rsidRDefault="00567C73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>The Committee very much welcomed the good news that the Trust had been successful in a bid for £270k for the recruitment of international staff – 90 registered nurses and 6 registered midwives.</w:t>
            </w:r>
          </w:p>
          <w:p w14:paraId="1BF12E1E" w14:textId="663A6140" w:rsidR="00567C73" w:rsidRDefault="00567C73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>The Committee discussed the impact</w:t>
            </w:r>
            <w:r w:rsidR="005320C5">
              <w:t xml:space="preserve"> and risks </w:t>
            </w:r>
            <w:r>
              <w:t xml:space="preserve">of the ‘Vaccination condition of deployment’, a central government initiative, which requires all staff </w:t>
            </w:r>
            <w:r w:rsidR="004C5B44">
              <w:t>(with some stipulated exceptions) to have at least 2 doses of the Covid vaccine by the end of March 2022. The Trust</w:t>
            </w:r>
            <w:r w:rsidR="00FC22CC">
              <w:t xml:space="preserve"> has reviewed 11203 staff (excluding volunteers and governors) and is focusing on </w:t>
            </w:r>
            <w:r w:rsidR="004C5B44">
              <w:t xml:space="preserve">820 staff </w:t>
            </w:r>
            <w:r w:rsidR="00FC22CC">
              <w:t xml:space="preserve">where the data is unclear, to determine </w:t>
            </w:r>
            <w:r w:rsidR="004C5B44">
              <w:t xml:space="preserve">if they have </w:t>
            </w:r>
            <w:r w:rsidR="00FC22CC">
              <w:t>met the conditions. For those staff unvaccinated it</w:t>
            </w:r>
            <w:r w:rsidR="004C5B44">
              <w:t xml:space="preserve"> will mean 1</w:t>
            </w:r>
            <w:r w:rsidR="004C5B44" w:rsidRPr="004C5B44">
              <w:rPr>
                <w:vertAlign w:val="superscript"/>
              </w:rPr>
              <w:t>st</w:t>
            </w:r>
            <w:r w:rsidR="004C5B44">
              <w:t xml:space="preserve"> dose by 3 Feb and second by 31 March. Those who do not meet the government criteria (or exemptions) will be subject to dismissal following a review by the Trust.</w:t>
            </w:r>
          </w:p>
          <w:p w14:paraId="542D3A86" w14:textId="475B7DAD" w:rsidR="004218C8" w:rsidRDefault="004218C8" w:rsidP="004218C8">
            <w:pPr>
              <w:pStyle w:val="ListParagraph"/>
              <w:ind w:left="242"/>
            </w:pPr>
          </w:p>
        </w:tc>
        <w:tc>
          <w:tcPr>
            <w:tcW w:w="1329" w:type="dxa"/>
          </w:tcPr>
          <w:p w14:paraId="476E9B5E" w14:textId="77777777" w:rsidR="00B66645" w:rsidRDefault="00D60C93">
            <w:r>
              <w:t>BOARD</w:t>
            </w:r>
          </w:p>
          <w:p w14:paraId="573ABBE4" w14:textId="77777777" w:rsidR="00D60C93" w:rsidRDefault="00D60C93"/>
          <w:p w14:paraId="5585A734" w14:textId="77777777" w:rsidR="00D60C93" w:rsidRDefault="00D60C93"/>
          <w:p w14:paraId="6F694884" w14:textId="77777777" w:rsidR="00D60C93" w:rsidRDefault="00D60C93"/>
          <w:p w14:paraId="3EFBA62C" w14:textId="77777777" w:rsidR="00D60C93" w:rsidRDefault="00D60C93"/>
          <w:p w14:paraId="67F295FB" w14:textId="0F9055B5" w:rsidR="00D60C93" w:rsidRDefault="00D60C93"/>
          <w:p w14:paraId="707CCF90" w14:textId="77777777" w:rsidR="00CB2A3E" w:rsidRDefault="00CB2A3E"/>
          <w:p w14:paraId="31463BF5" w14:textId="77777777" w:rsidR="00D60C93" w:rsidRDefault="00D60C93">
            <w:r>
              <w:t>BOARD</w:t>
            </w:r>
          </w:p>
          <w:p w14:paraId="63CF2F55" w14:textId="76ED7642" w:rsidR="005320C5" w:rsidRDefault="005320C5"/>
          <w:p w14:paraId="0EDEAC9A" w14:textId="77777777" w:rsidR="006F7083" w:rsidRDefault="006F7083"/>
          <w:p w14:paraId="52273B6E" w14:textId="77777777" w:rsidR="005320C5" w:rsidRDefault="005320C5">
            <w:r>
              <w:t>BOARD</w:t>
            </w:r>
          </w:p>
          <w:p w14:paraId="4BCDBE25" w14:textId="77777777" w:rsidR="005320C5" w:rsidRDefault="005320C5"/>
          <w:p w14:paraId="662B0217" w14:textId="145A614C" w:rsidR="005320C5" w:rsidRDefault="005320C5">
            <w:r>
              <w:t>BOARD</w:t>
            </w:r>
          </w:p>
        </w:tc>
        <w:tc>
          <w:tcPr>
            <w:tcW w:w="2013" w:type="dxa"/>
            <w:gridSpan w:val="2"/>
          </w:tcPr>
          <w:p w14:paraId="5C4F48F6" w14:textId="77777777" w:rsidR="00B66645" w:rsidRDefault="00D60C93">
            <w:r>
              <w:t>INFORMATION</w:t>
            </w:r>
          </w:p>
          <w:p w14:paraId="1AACA3C9" w14:textId="77777777" w:rsidR="00D60C93" w:rsidRDefault="00D60C93"/>
          <w:p w14:paraId="5B5AB52A" w14:textId="77777777" w:rsidR="00D60C93" w:rsidRDefault="00D60C93"/>
          <w:p w14:paraId="07A68460" w14:textId="77777777" w:rsidR="00D60C93" w:rsidRDefault="00D60C93"/>
          <w:p w14:paraId="66D42B73" w14:textId="77777777" w:rsidR="00D60C93" w:rsidRDefault="00D60C93"/>
          <w:p w14:paraId="66BAA710" w14:textId="77777777" w:rsidR="00D60C93" w:rsidRDefault="00D60C93"/>
          <w:p w14:paraId="7F33AD10" w14:textId="77777777" w:rsidR="00CB2A3E" w:rsidRDefault="00CB2A3E"/>
          <w:p w14:paraId="3F18C796" w14:textId="77777777" w:rsidR="00D60C93" w:rsidRDefault="00D60C93">
            <w:r>
              <w:t>ACTION</w:t>
            </w:r>
          </w:p>
          <w:p w14:paraId="0ED27718" w14:textId="0A4EEB8E" w:rsidR="004C5B44" w:rsidRDefault="004C5B44"/>
          <w:p w14:paraId="10AF6454" w14:textId="77777777" w:rsidR="006F7083" w:rsidRDefault="006F7083"/>
          <w:p w14:paraId="110DFCA2" w14:textId="77777777" w:rsidR="005320C5" w:rsidRDefault="005320C5">
            <w:r>
              <w:t>INFORMATION</w:t>
            </w:r>
          </w:p>
          <w:p w14:paraId="309C8B53" w14:textId="77777777" w:rsidR="005320C5" w:rsidRDefault="005320C5"/>
          <w:p w14:paraId="1AFC1D46" w14:textId="2AE14099" w:rsidR="005320C5" w:rsidRDefault="005320C5">
            <w:r>
              <w:t>INFORMATION</w:t>
            </w:r>
          </w:p>
        </w:tc>
      </w:tr>
      <w:tr w:rsidR="00AA5E23" w14:paraId="4E80D3AA" w14:textId="77777777" w:rsidTr="003E42A7">
        <w:tc>
          <w:tcPr>
            <w:tcW w:w="492" w:type="dxa"/>
            <w:gridSpan w:val="2"/>
          </w:tcPr>
          <w:p w14:paraId="72B4C54E" w14:textId="3F44ED8F" w:rsidR="00FA0ED1" w:rsidRPr="00E2759C" w:rsidRDefault="00FA0ED1">
            <w:pPr>
              <w:rPr>
                <w:b/>
                <w:bCs/>
                <w:sz w:val="20"/>
                <w:szCs w:val="20"/>
              </w:rPr>
            </w:pPr>
            <w:r w:rsidRPr="00E2759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38" w:type="dxa"/>
          </w:tcPr>
          <w:p w14:paraId="1C022C86" w14:textId="00945DB3" w:rsidR="00FA0ED1" w:rsidRPr="00E2759C" w:rsidRDefault="00FA0ED1" w:rsidP="00B66645">
            <w:pPr>
              <w:rPr>
                <w:b/>
                <w:bCs/>
                <w:sz w:val="20"/>
                <w:szCs w:val="20"/>
              </w:rPr>
            </w:pPr>
            <w:r w:rsidRPr="00E2759C">
              <w:rPr>
                <w:b/>
                <w:bCs/>
                <w:sz w:val="20"/>
                <w:szCs w:val="20"/>
              </w:rPr>
              <w:t xml:space="preserve">Annual Equality, Diversity and Inclusion Workforce </w:t>
            </w:r>
            <w:r w:rsidRPr="00E2759C">
              <w:rPr>
                <w:b/>
                <w:bCs/>
                <w:sz w:val="20"/>
                <w:szCs w:val="20"/>
              </w:rPr>
              <w:lastRenderedPageBreak/>
              <w:t>Report</w:t>
            </w:r>
          </w:p>
        </w:tc>
        <w:tc>
          <w:tcPr>
            <w:tcW w:w="9916" w:type="dxa"/>
            <w:gridSpan w:val="9"/>
          </w:tcPr>
          <w:p w14:paraId="54F35BDF" w14:textId="28B07B66" w:rsidR="00FA0ED1" w:rsidRDefault="005320C5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lastRenderedPageBreak/>
              <w:t xml:space="preserve">The Committee was assured progress was being made, but did ask for the next issue of </w:t>
            </w:r>
            <w:r w:rsidR="00D0232F">
              <w:t>the report</w:t>
            </w:r>
            <w:r>
              <w:t xml:space="preserve"> to consider </w:t>
            </w:r>
            <w:r w:rsidR="0068528F">
              <w:t>shortening</w:t>
            </w:r>
            <w:r>
              <w:t xml:space="preserve"> to an executive summary of the </w:t>
            </w:r>
            <w:r w:rsidR="00D05C72">
              <w:t xml:space="preserve">key </w:t>
            </w:r>
            <w:r>
              <w:t xml:space="preserve">challenges </w:t>
            </w:r>
            <w:r w:rsidR="00D05C72">
              <w:t xml:space="preserve">and actions </w:t>
            </w:r>
            <w:r>
              <w:t>which were addressed, measurement of progress</w:t>
            </w:r>
            <w:r w:rsidR="00D05C72">
              <w:t xml:space="preserve"> against plan</w:t>
            </w:r>
            <w:r>
              <w:t xml:space="preserve">, </w:t>
            </w:r>
            <w:r w:rsidR="00D05C72">
              <w:t>including</w:t>
            </w:r>
            <w:r>
              <w:t xml:space="preserve"> achievements</w:t>
            </w:r>
            <w:r w:rsidR="00D05C72">
              <w:t>, risks</w:t>
            </w:r>
            <w:r>
              <w:t xml:space="preserve"> and clear outcomes.</w:t>
            </w:r>
          </w:p>
          <w:p w14:paraId="6EF9DFC7" w14:textId="77777777" w:rsidR="00504802" w:rsidRDefault="00504802" w:rsidP="00504802"/>
          <w:p w14:paraId="4D746B82" w14:textId="77777777" w:rsidR="00504802" w:rsidRDefault="00504802" w:rsidP="00504802"/>
          <w:p w14:paraId="5E0C53BC" w14:textId="77777777" w:rsidR="00504802" w:rsidRDefault="00504802" w:rsidP="00504802"/>
          <w:p w14:paraId="1A72D132" w14:textId="064D4994" w:rsidR="00504802" w:rsidRDefault="00504802" w:rsidP="00504802"/>
        </w:tc>
        <w:tc>
          <w:tcPr>
            <w:tcW w:w="1329" w:type="dxa"/>
          </w:tcPr>
          <w:p w14:paraId="41D02DB3" w14:textId="3EDA1611" w:rsidR="00FA0ED1" w:rsidRDefault="005320C5">
            <w:r>
              <w:lastRenderedPageBreak/>
              <w:t>BOARD</w:t>
            </w:r>
          </w:p>
        </w:tc>
        <w:tc>
          <w:tcPr>
            <w:tcW w:w="2013" w:type="dxa"/>
            <w:gridSpan w:val="2"/>
          </w:tcPr>
          <w:p w14:paraId="6A761141" w14:textId="7A52930F" w:rsidR="00FA0ED1" w:rsidRDefault="005320C5">
            <w:r>
              <w:t>INFORMATION</w:t>
            </w:r>
          </w:p>
        </w:tc>
      </w:tr>
      <w:tr w:rsidR="00AA5E23" w14:paraId="34E2F3CC" w14:textId="77777777" w:rsidTr="003E75EA">
        <w:tc>
          <w:tcPr>
            <w:tcW w:w="15388" w:type="dxa"/>
            <w:gridSpan w:val="15"/>
          </w:tcPr>
          <w:p w14:paraId="5482B191" w14:textId="7BBC5A8C" w:rsidR="00AA5E23" w:rsidRPr="00AA5E23" w:rsidRDefault="00AA5E23">
            <w:pPr>
              <w:rPr>
                <w:sz w:val="20"/>
                <w:szCs w:val="20"/>
              </w:rPr>
            </w:pPr>
            <w:r w:rsidRPr="00DB5E65">
              <w:rPr>
                <w:rFonts w:ascii="Arial" w:eastAsia="Calibri" w:hAnsi="Arial" w:cs="Arial"/>
                <w:b/>
                <w:bCs/>
                <w:noProof/>
                <w:color w:val="0072C6"/>
                <w:lang w:eastAsia="en-GB"/>
              </w:rPr>
              <w:lastRenderedPageBreak/>
              <w:t>Digital</w:t>
            </w:r>
          </w:p>
        </w:tc>
      </w:tr>
      <w:tr w:rsidR="00AA5E23" w14:paraId="334B2732" w14:textId="77777777" w:rsidTr="003E42A7">
        <w:tc>
          <w:tcPr>
            <w:tcW w:w="492" w:type="dxa"/>
            <w:gridSpan w:val="2"/>
          </w:tcPr>
          <w:p w14:paraId="09B14549" w14:textId="60A3D4B0" w:rsidR="00FA0ED1" w:rsidRPr="00DB5E65" w:rsidRDefault="00AA5E23">
            <w:pPr>
              <w:rPr>
                <w:b/>
                <w:bCs/>
                <w:sz w:val="20"/>
                <w:szCs w:val="20"/>
              </w:rPr>
            </w:pPr>
            <w:r w:rsidRPr="00DB5E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38" w:type="dxa"/>
          </w:tcPr>
          <w:p w14:paraId="70BBBF7C" w14:textId="28A329F8" w:rsidR="00FA0ED1" w:rsidRPr="00E2759C" w:rsidRDefault="00AA5E23" w:rsidP="00B66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</w:t>
            </w:r>
          </w:p>
        </w:tc>
        <w:tc>
          <w:tcPr>
            <w:tcW w:w="9916" w:type="dxa"/>
            <w:gridSpan w:val="9"/>
          </w:tcPr>
          <w:p w14:paraId="6DADDA33" w14:textId="6BDAFC1F" w:rsidR="00FA0ED1" w:rsidRDefault="00D05C72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>The Procurement exercise for a new long</w:t>
            </w:r>
            <w:r w:rsidR="00504802">
              <w:t>-</w:t>
            </w:r>
            <w:r>
              <w:t>term delivery process has been delayed. The Committee was assured th</w:t>
            </w:r>
            <w:r w:rsidR="00AA05E0">
              <w:t>at the Digital team has worked extremely hard over Christmas to rework plans and spread the immediate work across a number of suppliers.</w:t>
            </w:r>
            <w:r w:rsidR="00F32093">
              <w:t xml:space="preserve"> The Committee thanked the team, and asked for a review of the risk probability impact.</w:t>
            </w:r>
          </w:p>
        </w:tc>
        <w:tc>
          <w:tcPr>
            <w:tcW w:w="1329" w:type="dxa"/>
          </w:tcPr>
          <w:p w14:paraId="4198D4EE" w14:textId="6FC8FB11" w:rsidR="00FA0ED1" w:rsidRDefault="00AA05E0">
            <w:r>
              <w:t>BOARD</w:t>
            </w:r>
          </w:p>
        </w:tc>
        <w:tc>
          <w:tcPr>
            <w:tcW w:w="2013" w:type="dxa"/>
            <w:gridSpan w:val="2"/>
          </w:tcPr>
          <w:p w14:paraId="1F2D98C9" w14:textId="791ED753" w:rsidR="00FA0ED1" w:rsidRDefault="00AA05E0">
            <w:r>
              <w:t>INFORMATION</w:t>
            </w:r>
          </w:p>
        </w:tc>
      </w:tr>
      <w:tr w:rsidR="00AA05E0" w14:paraId="57B3C551" w14:textId="77777777" w:rsidTr="003E2DE5">
        <w:tc>
          <w:tcPr>
            <w:tcW w:w="15388" w:type="dxa"/>
            <w:gridSpan w:val="15"/>
          </w:tcPr>
          <w:p w14:paraId="507C9D85" w14:textId="7438E5EF" w:rsidR="00AA05E0" w:rsidRPr="00DB5E65" w:rsidRDefault="00AA05E0">
            <w:pPr>
              <w:rPr>
                <w:sz w:val="20"/>
                <w:szCs w:val="20"/>
              </w:rPr>
            </w:pPr>
            <w:r w:rsidRPr="00DB5E65">
              <w:rPr>
                <w:rFonts w:ascii="Arial" w:eastAsia="Calibri" w:hAnsi="Arial" w:cs="Arial"/>
                <w:b/>
                <w:bCs/>
                <w:noProof/>
                <w:color w:val="0072C6"/>
                <w:lang w:eastAsia="en-GB"/>
              </w:rPr>
              <w:t>Finance</w:t>
            </w:r>
          </w:p>
        </w:tc>
      </w:tr>
      <w:tr w:rsidR="00AA5E23" w14:paraId="65DF1698" w14:textId="77777777" w:rsidTr="003E42A7">
        <w:tc>
          <w:tcPr>
            <w:tcW w:w="492" w:type="dxa"/>
            <w:gridSpan w:val="2"/>
          </w:tcPr>
          <w:p w14:paraId="07AE775C" w14:textId="1FDDB57A" w:rsidR="00C92D39" w:rsidRPr="00E2759C" w:rsidRDefault="00266B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38" w:type="dxa"/>
          </w:tcPr>
          <w:p w14:paraId="39A1BA91" w14:textId="669B91A0" w:rsidR="00C92D39" w:rsidRPr="00266B67" w:rsidRDefault="00266B67" w:rsidP="00266B67">
            <w:pPr>
              <w:rPr>
                <w:b/>
                <w:bCs/>
                <w:sz w:val="20"/>
                <w:szCs w:val="20"/>
              </w:rPr>
            </w:pPr>
            <w:r w:rsidRPr="00266B67">
              <w:rPr>
                <w:b/>
                <w:bCs/>
                <w:sz w:val="20"/>
                <w:szCs w:val="20"/>
              </w:rPr>
              <w:t>IBR</w:t>
            </w:r>
          </w:p>
        </w:tc>
        <w:tc>
          <w:tcPr>
            <w:tcW w:w="9916" w:type="dxa"/>
            <w:gridSpan w:val="9"/>
          </w:tcPr>
          <w:p w14:paraId="6F4A5374" w14:textId="77777777" w:rsidR="00C92D39" w:rsidRDefault="002D1CFE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>Month 9 – largely balanced, reporting £37k surplus against an adjusted planned deficit of £257k thus £294k ahead of the adjusted system plan.</w:t>
            </w:r>
          </w:p>
          <w:p w14:paraId="4B264943" w14:textId="0D1B698A" w:rsidR="00BE5187" w:rsidRDefault="00BE5187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 xml:space="preserve">Concerns about ad hoc ‘premium’ spending linked to staffing problems as a consequence of the pandemic </w:t>
            </w:r>
            <w:r w:rsidR="00D0232F">
              <w:t xml:space="preserve">were discussed. The </w:t>
            </w:r>
            <w:r>
              <w:t>hope</w:t>
            </w:r>
            <w:r w:rsidR="00D0232F">
              <w:t xml:space="preserve"> is that this ‘premium spend’ </w:t>
            </w:r>
            <w:r>
              <w:t xml:space="preserve">will not be necessary </w:t>
            </w:r>
            <w:r w:rsidR="00D0232F">
              <w:t>in the next few months if the pandemic-associated staffing problems are resolved as the current wave subsides.</w:t>
            </w:r>
          </w:p>
          <w:p w14:paraId="4B25CAEE" w14:textId="5E26A7DB" w:rsidR="00BE5187" w:rsidRDefault="00BE5187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 xml:space="preserve">Noted </w:t>
            </w:r>
            <w:r w:rsidR="00D02D03">
              <w:t>c</w:t>
            </w:r>
            <w:r>
              <w:t>apital planning</w:t>
            </w:r>
            <w:r w:rsidR="003E42A7">
              <w:t xml:space="preserve"> for 22/23</w:t>
            </w:r>
            <w:r>
              <w:t xml:space="preserve"> is underway to present to Board </w:t>
            </w:r>
            <w:r w:rsidR="003E42A7">
              <w:t>in due course.</w:t>
            </w:r>
          </w:p>
        </w:tc>
        <w:tc>
          <w:tcPr>
            <w:tcW w:w="1329" w:type="dxa"/>
          </w:tcPr>
          <w:p w14:paraId="03E6E362" w14:textId="682E1B53" w:rsidR="00C92D39" w:rsidRDefault="00C92D39">
            <w:r>
              <w:t>BOARD</w:t>
            </w:r>
          </w:p>
        </w:tc>
        <w:tc>
          <w:tcPr>
            <w:tcW w:w="2013" w:type="dxa"/>
            <w:gridSpan w:val="2"/>
          </w:tcPr>
          <w:p w14:paraId="4BADCEB0" w14:textId="03A03B8A" w:rsidR="00C92D39" w:rsidRDefault="00C92D39">
            <w:r>
              <w:t>INFORMATION</w:t>
            </w:r>
          </w:p>
        </w:tc>
      </w:tr>
      <w:tr w:rsidR="003E42A7" w14:paraId="62B2F45E" w14:textId="77777777" w:rsidTr="009557DC">
        <w:tc>
          <w:tcPr>
            <w:tcW w:w="15388" w:type="dxa"/>
            <w:gridSpan w:val="15"/>
          </w:tcPr>
          <w:p w14:paraId="77005467" w14:textId="1BBC64E6" w:rsidR="003E42A7" w:rsidRDefault="00D02D03" w:rsidP="003E42A7">
            <w:r w:rsidRPr="00DB5E65">
              <w:rPr>
                <w:rFonts w:ascii="Arial" w:eastAsia="Calibri" w:hAnsi="Arial" w:cs="Arial"/>
                <w:b/>
                <w:bCs/>
                <w:noProof/>
                <w:color w:val="0072C6"/>
                <w:lang w:eastAsia="en-GB"/>
              </w:rPr>
              <w:t>YTHFM L</w:t>
            </w:r>
            <w:r w:rsidR="003E42A7" w:rsidRPr="00DB5E65">
              <w:rPr>
                <w:rFonts w:ascii="Arial" w:eastAsia="Calibri" w:hAnsi="Arial" w:cs="Arial"/>
                <w:b/>
                <w:bCs/>
                <w:noProof/>
                <w:color w:val="0072C6"/>
                <w:lang w:eastAsia="en-GB"/>
              </w:rPr>
              <w:t>LP</w:t>
            </w:r>
          </w:p>
        </w:tc>
      </w:tr>
      <w:tr w:rsidR="00AA5E23" w14:paraId="58590A47" w14:textId="77777777" w:rsidTr="003E42A7">
        <w:tc>
          <w:tcPr>
            <w:tcW w:w="492" w:type="dxa"/>
            <w:gridSpan w:val="2"/>
          </w:tcPr>
          <w:p w14:paraId="1E3571C6" w14:textId="2AFF3072" w:rsidR="00C92D39" w:rsidRPr="003E42A7" w:rsidRDefault="003E42A7">
            <w:pPr>
              <w:rPr>
                <w:b/>
                <w:bCs/>
                <w:sz w:val="20"/>
                <w:szCs w:val="20"/>
              </w:rPr>
            </w:pPr>
            <w:r w:rsidRPr="003E42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38" w:type="dxa"/>
          </w:tcPr>
          <w:p w14:paraId="72B8FCB1" w14:textId="770461FD" w:rsidR="00C92D39" w:rsidRPr="003E42A7" w:rsidRDefault="003E42A7" w:rsidP="003E42A7">
            <w:pPr>
              <w:rPr>
                <w:b/>
                <w:bCs/>
                <w:sz w:val="20"/>
                <w:szCs w:val="20"/>
              </w:rPr>
            </w:pPr>
            <w:r w:rsidRPr="003E42A7">
              <w:rPr>
                <w:b/>
                <w:bCs/>
                <w:sz w:val="20"/>
                <w:szCs w:val="20"/>
              </w:rPr>
              <w:t>Risk and Assurance update</w:t>
            </w:r>
          </w:p>
        </w:tc>
        <w:tc>
          <w:tcPr>
            <w:tcW w:w="9916" w:type="dxa"/>
            <w:gridSpan w:val="9"/>
          </w:tcPr>
          <w:p w14:paraId="63A0FCDD" w14:textId="0C027160" w:rsidR="00C92D39" w:rsidRDefault="003E42A7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>Covid related issues have caused staff absences and all Band 2 and 3</w:t>
            </w:r>
            <w:r w:rsidR="00A675E9">
              <w:t xml:space="preserve"> have been offered enhancements to support the current workforce until end of January 2022</w:t>
            </w:r>
            <w:r w:rsidR="00FD2E74">
              <w:t>.</w:t>
            </w:r>
          </w:p>
          <w:p w14:paraId="081F9145" w14:textId="1A43E4DC" w:rsidR="00A675E9" w:rsidRDefault="00FD2E74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>A bid for a g</w:t>
            </w:r>
            <w:r w:rsidR="00A675E9">
              <w:t xml:space="preserve">rant </w:t>
            </w:r>
            <w:r>
              <w:t xml:space="preserve">to support the Trusts Carbon Energy plans </w:t>
            </w:r>
            <w:r w:rsidR="00A675E9">
              <w:t>has been awarded</w:t>
            </w:r>
            <w:r>
              <w:t xml:space="preserve">. This was very </w:t>
            </w:r>
            <w:r w:rsidR="00A675E9">
              <w:t>much welcomed by the Committee as good news</w:t>
            </w:r>
            <w:r w:rsidR="00DB5E65">
              <w:t xml:space="preserve"> given the £10M allocation</w:t>
            </w:r>
            <w:r>
              <w:t>.</w:t>
            </w:r>
          </w:p>
          <w:p w14:paraId="035A7879" w14:textId="241B6B71" w:rsidR="00DB5E65" w:rsidRDefault="00DB5E65" w:rsidP="00AA05E0">
            <w:pPr>
              <w:pStyle w:val="ListParagraph"/>
              <w:numPr>
                <w:ilvl w:val="0"/>
                <w:numId w:val="24"/>
              </w:numPr>
              <w:ind w:left="242" w:hanging="242"/>
            </w:pPr>
            <w:r>
              <w:t>Scarborough business case is progressing post Board through all the necessary channels.</w:t>
            </w:r>
          </w:p>
        </w:tc>
        <w:tc>
          <w:tcPr>
            <w:tcW w:w="1329" w:type="dxa"/>
          </w:tcPr>
          <w:p w14:paraId="40CC6EA2" w14:textId="4BEA74E5" w:rsidR="00C92D39" w:rsidRDefault="00C92D39">
            <w:r>
              <w:t xml:space="preserve">BOARD </w:t>
            </w:r>
          </w:p>
        </w:tc>
        <w:tc>
          <w:tcPr>
            <w:tcW w:w="2013" w:type="dxa"/>
            <w:gridSpan w:val="2"/>
          </w:tcPr>
          <w:p w14:paraId="7DBD0AEC" w14:textId="72CB84EC" w:rsidR="00C92D39" w:rsidRDefault="00C92D39">
            <w:r>
              <w:t>INFORMATION</w:t>
            </w:r>
          </w:p>
        </w:tc>
      </w:tr>
      <w:tr w:rsidR="00D02D03" w14:paraId="296E8FB6" w14:textId="77777777" w:rsidTr="0051553C">
        <w:tc>
          <w:tcPr>
            <w:tcW w:w="15388" w:type="dxa"/>
            <w:gridSpan w:val="15"/>
          </w:tcPr>
          <w:p w14:paraId="66DC3873" w14:textId="3B6188A8" w:rsidR="00D02D03" w:rsidRDefault="00D02D03">
            <w:r w:rsidRPr="00DB5E65">
              <w:rPr>
                <w:rFonts w:ascii="Arial" w:eastAsia="Calibri" w:hAnsi="Arial" w:cs="Arial"/>
                <w:b/>
                <w:bCs/>
                <w:noProof/>
                <w:color w:val="0072C6"/>
                <w:lang w:eastAsia="en-GB"/>
              </w:rPr>
              <w:t>Governance</w:t>
            </w:r>
          </w:p>
        </w:tc>
      </w:tr>
      <w:tr w:rsidR="002D1CFE" w14:paraId="63EED0D8" w14:textId="77777777" w:rsidTr="003E42A7">
        <w:tc>
          <w:tcPr>
            <w:tcW w:w="492" w:type="dxa"/>
            <w:gridSpan w:val="2"/>
          </w:tcPr>
          <w:p w14:paraId="7D5E0E95" w14:textId="548F8596" w:rsidR="002D1CFE" w:rsidRPr="00E2759C" w:rsidRDefault="00D02D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8" w:type="dxa"/>
          </w:tcPr>
          <w:p w14:paraId="1C626790" w14:textId="41BEBD70" w:rsidR="002D1CFE" w:rsidRPr="00D02D03" w:rsidRDefault="00D02D03" w:rsidP="00D02D03">
            <w:pPr>
              <w:rPr>
                <w:b/>
                <w:bCs/>
                <w:sz w:val="20"/>
                <w:szCs w:val="20"/>
              </w:rPr>
            </w:pPr>
            <w:r w:rsidRPr="00D02D03">
              <w:rPr>
                <w:b/>
                <w:bCs/>
                <w:sz w:val="20"/>
                <w:szCs w:val="20"/>
              </w:rPr>
              <w:t>BAF</w:t>
            </w:r>
          </w:p>
        </w:tc>
        <w:tc>
          <w:tcPr>
            <w:tcW w:w="9916" w:type="dxa"/>
            <w:gridSpan w:val="9"/>
          </w:tcPr>
          <w:p w14:paraId="062BB57D" w14:textId="77777777" w:rsidR="002D1CFE" w:rsidRDefault="002D1CFE" w:rsidP="00D02D03"/>
        </w:tc>
        <w:tc>
          <w:tcPr>
            <w:tcW w:w="1329" w:type="dxa"/>
          </w:tcPr>
          <w:p w14:paraId="55DE3C66" w14:textId="77777777" w:rsidR="002D1CFE" w:rsidRDefault="002D1CFE"/>
        </w:tc>
        <w:tc>
          <w:tcPr>
            <w:tcW w:w="2013" w:type="dxa"/>
            <w:gridSpan w:val="2"/>
          </w:tcPr>
          <w:p w14:paraId="49BFF38A" w14:textId="77777777" w:rsidR="002D1CFE" w:rsidRDefault="002D1CFE"/>
        </w:tc>
      </w:tr>
      <w:tr w:rsidR="00B719F6" w14:paraId="2A490B33" w14:textId="77777777" w:rsidTr="00335AAF">
        <w:trPr>
          <w:trHeight w:val="255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849" w14:textId="130D9F3A" w:rsidR="00B719F6" w:rsidRDefault="00B719F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Trust strategic goals assured to Committee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D102" w14:textId="77777777" w:rsidR="00B719F6" w:rsidRDefault="00B719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1. To deliver safe and high quality patient care as part of an integrated system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76B" w14:textId="77777777" w:rsidR="00B719F6" w:rsidRDefault="00B719F6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0EDD3114" w14:textId="77777777" w:rsidR="00B719F6" w:rsidRDefault="00B719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93D2" w14:textId="77777777" w:rsidR="00B719F6" w:rsidRDefault="00B719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2. To support an engaged, healthy and resilient workforce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B09" w14:textId="77777777" w:rsidR="00B719F6" w:rsidRDefault="00B719F6">
            <w:pPr>
              <w:rPr>
                <w:rFonts w:ascii="Arial" w:hAnsi="Arial" w:cs="Arial"/>
                <w:color w:val="000000" w:themeColor="text1"/>
              </w:rPr>
            </w:pPr>
          </w:p>
          <w:p w14:paraId="2B30F9C1" w14:textId="77777777" w:rsidR="00B719F6" w:rsidRDefault="00B719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20A8" w14:textId="77777777" w:rsidR="00B719F6" w:rsidRDefault="00B719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3. To ensure financial sustainability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1B6" w14:textId="2F78ED90" w:rsidR="00B719F6" w:rsidRDefault="00B719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  <w:p w14:paraId="18C3CAD5" w14:textId="77777777" w:rsidR="00B719F6" w:rsidRDefault="00B719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D02D03" w14:paraId="0E0DE1C3" w14:textId="77777777" w:rsidTr="00B719F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7B7" w14:textId="77777777" w:rsidR="00C92D39" w:rsidRDefault="00C92D3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5CE2" w14:textId="60DBC900" w:rsidR="00C92D39" w:rsidRDefault="00C92D3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BAF Risks assured to Committee 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8E2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1122121E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PR1 - Quality Standards</w:t>
            </w:r>
          </w:p>
          <w:p w14:paraId="631DBE78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CEE" w14:textId="77777777" w:rsidR="00C92D39" w:rsidRDefault="00C92D39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1793E931" w14:textId="77777777" w:rsidR="00C92D39" w:rsidRDefault="00C92D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F28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77FD4767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PR2 - Safety Standards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B42" w14:textId="77777777" w:rsidR="00C92D39" w:rsidRDefault="00C92D39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56ED7218" w14:textId="77777777" w:rsidR="00C92D39" w:rsidRDefault="00C92D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ADE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7EC532EB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PR3 - Performance Targets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4D57" w14:textId="77777777" w:rsidR="00C92D39" w:rsidRDefault="00C92D39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0D86F912" w14:textId="77777777" w:rsidR="00C92D39" w:rsidRDefault="00C92D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D02D03" w14:paraId="66B3CCF7" w14:textId="77777777" w:rsidTr="00B719F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BBB" w14:textId="77777777" w:rsidR="00C92D39" w:rsidRDefault="00C92D3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AE7C" w14:textId="7018911D" w:rsidR="00C92D39" w:rsidRDefault="00C92D3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12C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4CADD4ED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PR4 - Workforce</w:t>
            </w:r>
          </w:p>
          <w:p w14:paraId="43CE702C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D49" w14:textId="77777777" w:rsidR="00C92D39" w:rsidRDefault="00C92D39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0B80398A" w14:textId="46B52C7F" w:rsidR="00C92D39" w:rsidRDefault="00C92D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x</w:t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BD0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2699ABBF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PR5 - Inadequate Funding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86A" w14:textId="77777777" w:rsidR="00C92D39" w:rsidRDefault="00C92D39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75A43607" w14:textId="1614D8E7" w:rsidR="00C92D39" w:rsidRDefault="00C92D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x</w:t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8F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66DE49E5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PR6 - IT Service Standards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2F3" w14:textId="77777777" w:rsidR="00C92D39" w:rsidRDefault="00C92D39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536F0F89" w14:textId="38D1DF33" w:rsidR="00C92D39" w:rsidRDefault="00C92D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x</w:t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3E42A7" w14:paraId="3516D22B" w14:textId="77777777" w:rsidTr="00B719F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09D" w14:textId="77777777" w:rsidR="00C92D39" w:rsidRDefault="00C92D3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038A" w14:textId="67265A46" w:rsidR="00C92D39" w:rsidRDefault="00C92D3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682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11F64DF8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PR7 - Integrated Care System</w:t>
            </w:r>
          </w:p>
          <w:p w14:paraId="3119D692" w14:textId="77777777" w:rsidR="00C92D39" w:rsidRDefault="00C92D39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70B6" w14:textId="666C73BA" w:rsidR="00C92D39" w:rsidRDefault="00C92D39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x</w:t>
            </w:r>
          </w:p>
          <w:p w14:paraId="6775CF81" w14:textId="77777777" w:rsidR="00C92D39" w:rsidRDefault="00C92D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</w:r>
            <w:r w:rsidR="00CB2A3E"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C74" w14:textId="77777777" w:rsidR="00C92D39" w:rsidRDefault="00C92D3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0139E4" w14:textId="19FCBEEA" w:rsidR="00C92D39" w:rsidRDefault="00C92D3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Comments: PR7 is interrelated across our agenda, and will be noted as discussions arise.</w:t>
            </w:r>
          </w:p>
        </w:tc>
      </w:tr>
      <w:tr w:rsidR="001624A5" w14:paraId="433E8C74" w14:textId="77777777" w:rsidTr="00B719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CB1532" w14:textId="77777777" w:rsidR="00C92D39" w:rsidRDefault="00C92D3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545D563" w14:textId="6B6B05D1" w:rsidR="00C92D39" w:rsidRDefault="00C92D3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Key Agenda Items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317E63E" w14:textId="77777777" w:rsidR="00C92D39" w:rsidRDefault="00C92D3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RAG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6E8C9F7" w14:textId="77777777" w:rsidR="00C92D39" w:rsidRDefault="00C92D3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Key Assurance Points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B98E2B8" w14:textId="77777777" w:rsidR="00C92D39" w:rsidRDefault="00C92D3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Action </w:t>
            </w:r>
          </w:p>
        </w:tc>
      </w:tr>
      <w:tr w:rsidR="001624A5" w14:paraId="49DB48D0" w14:textId="77777777" w:rsidTr="00B719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936" w14:textId="4539E40F" w:rsidR="00C92D39" w:rsidRDefault="001624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PR4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F4A" w14:textId="1FFFDAFF" w:rsidR="00C92D39" w:rsidRDefault="001624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Workforce and 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1A58DB" w14:textId="77777777" w:rsidR="00C92D39" w:rsidRPr="00D562A6" w:rsidRDefault="00C92D3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A0E" w14:textId="0B4BEB13" w:rsidR="00C92D39" w:rsidRDefault="001624A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Committee noted issues remain on medical staffing</w:t>
            </w:r>
            <w:r w:rsidR="00DB5E65">
              <w:rPr>
                <w:rFonts w:ascii="Arial" w:hAnsi="Arial" w:cs="Arial"/>
                <w:color w:val="000000" w:themeColor="text1"/>
              </w:rPr>
              <w:t xml:space="preserve"> from audit</w:t>
            </w:r>
          </w:p>
          <w:p w14:paraId="33CFB4A2" w14:textId="6ED7596D" w:rsidR="001624A5" w:rsidRDefault="001624A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Committee noted staff absences</w:t>
            </w:r>
            <w:r w:rsidR="00DB5E65">
              <w:rPr>
                <w:rFonts w:ascii="Arial" w:hAnsi="Arial" w:cs="Arial"/>
                <w:color w:val="000000" w:themeColor="text1"/>
              </w:rPr>
              <w:t xml:space="preserve"> and impact on well being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2B3" w14:textId="77777777" w:rsidR="00C92D39" w:rsidRDefault="00C92D39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Polly to return to Committee with progress report in February</w:t>
            </w:r>
          </w:p>
          <w:p w14:paraId="07620E87" w14:textId="77777777" w:rsidR="00DB5E65" w:rsidRDefault="00DB5E6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25173FB" w14:textId="4817F1F9" w:rsidR="00DB5E65" w:rsidRDefault="00DB5E6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Board to note and support plans to address </w:t>
            </w:r>
          </w:p>
        </w:tc>
      </w:tr>
      <w:tr w:rsidR="001624A5" w14:paraId="14C0D4FB" w14:textId="77777777" w:rsidTr="00B719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AC9" w14:textId="4EA67DFC" w:rsidR="00C92D39" w:rsidRDefault="001624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PR6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B3A" w14:textId="7DC473DA" w:rsidR="00C92D39" w:rsidRDefault="001624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Digital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D83DD8" w14:textId="77777777" w:rsidR="00C92D39" w:rsidRPr="00D562A6" w:rsidRDefault="00C92D3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3EFD" w14:textId="760D9B2F" w:rsidR="00F32093" w:rsidRDefault="001624A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Continued issue on lack of progress on cyber</w:t>
            </w:r>
            <w:r w:rsidR="00C92D39">
              <w:rPr>
                <w:rFonts w:ascii="Arial" w:hAnsi="Arial" w:cs="Arial"/>
                <w:color w:val="000000" w:themeColor="text1"/>
              </w:rPr>
              <w:t xml:space="preserve"> desktop test exercise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BDC" w14:textId="77777777" w:rsidR="00C92D39" w:rsidRDefault="001624A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cyber expert has been brought into the trust to bridge the gap before a more permanent recruit is brought on board.</w:t>
            </w:r>
          </w:p>
          <w:p w14:paraId="3082609B" w14:textId="2D48D2DE" w:rsidR="001624A5" w:rsidRDefault="001624A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624A5" w14:paraId="38F12B1B" w14:textId="77777777" w:rsidTr="00B719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B0F" w14:textId="7F118F3E" w:rsidR="00C92D39" w:rsidRDefault="001624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PR5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D47" w14:textId="31B65E52" w:rsidR="00C92D39" w:rsidRDefault="00C92D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Finance, CIP &amp; Capital programme slippage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823A32" w14:textId="77777777" w:rsidR="00C92D39" w:rsidRDefault="00C92D3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5BFE" w14:textId="573B5AFD" w:rsidR="00C92D39" w:rsidRDefault="00C92D39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Both risks were noted and assurance provided that mitigation plans are in place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239" w14:textId="02BE2E00" w:rsidR="00C92D39" w:rsidRDefault="00C92D39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Andy to </w:t>
            </w:r>
            <w:r w:rsidR="001624A5">
              <w:rPr>
                <w:rFonts w:ascii="Arial" w:hAnsi="Arial" w:cs="Arial"/>
                <w:color w:val="000000" w:themeColor="text1"/>
              </w:rPr>
              <w:t>continue to update as progress made</w:t>
            </w:r>
          </w:p>
        </w:tc>
      </w:tr>
    </w:tbl>
    <w:p w14:paraId="4CE033FB" w14:textId="77777777" w:rsidR="00470570" w:rsidRDefault="00470570" w:rsidP="00470570">
      <w:pPr>
        <w:rPr>
          <w:rFonts w:ascii="Arial" w:hAnsi="Arial" w:cs="Arial"/>
          <w:sz w:val="24"/>
          <w:szCs w:val="24"/>
          <w:u w:val="single"/>
        </w:rPr>
      </w:pPr>
    </w:p>
    <w:p w14:paraId="50371254" w14:textId="77777777" w:rsidR="00470570" w:rsidRDefault="00470570" w:rsidP="00470570">
      <w:pPr>
        <w:rPr>
          <w:rFonts w:ascii="Arial" w:hAnsi="Arial" w:cs="Arial"/>
          <w:sz w:val="24"/>
          <w:szCs w:val="24"/>
          <w:u w:val="single"/>
        </w:rPr>
      </w:pPr>
    </w:p>
    <w:p w14:paraId="558D0284" w14:textId="77777777" w:rsidR="00B8443E" w:rsidRDefault="00B8443E"/>
    <w:sectPr w:rsidR="00B8443E" w:rsidSect="00B6562C">
      <w:headerReference w:type="default" r:id="rId13"/>
      <w:pgSz w:w="16838" w:h="11906" w:orient="landscape"/>
      <w:pgMar w:top="720" w:right="720" w:bottom="720" w:left="72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39F62" w14:textId="77777777" w:rsidR="00A74B27" w:rsidRDefault="00A74B27" w:rsidP="00251147">
      <w:pPr>
        <w:spacing w:after="0" w:line="240" w:lineRule="auto"/>
      </w:pPr>
      <w:r>
        <w:separator/>
      </w:r>
    </w:p>
  </w:endnote>
  <w:endnote w:type="continuationSeparator" w:id="0">
    <w:p w14:paraId="404E1D80" w14:textId="77777777" w:rsidR="00A74B27" w:rsidRDefault="00A74B27" w:rsidP="0025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D7961" w14:textId="77777777" w:rsidR="00A74B27" w:rsidRDefault="00A74B27" w:rsidP="00251147">
      <w:pPr>
        <w:spacing w:after="0" w:line="240" w:lineRule="auto"/>
      </w:pPr>
      <w:r>
        <w:separator/>
      </w:r>
    </w:p>
  </w:footnote>
  <w:footnote w:type="continuationSeparator" w:id="0">
    <w:p w14:paraId="1D24ED44" w14:textId="77777777" w:rsidR="00A74B27" w:rsidRDefault="00A74B27" w:rsidP="0025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0156E" w14:textId="73BF5DCF" w:rsidR="00B6562C" w:rsidRDefault="00B6562C" w:rsidP="00A47C9B">
    <w:pPr>
      <w:pStyle w:val="Header"/>
      <w:tabs>
        <w:tab w:val="clear" w:pos="4513"/>
        <w:tab w:val="clear" w:pos="9026"/>
        <w:tab w:val="left" w:pos="11948"/>
      </w:tabs>
    </w:pPr>
  </w:p>
  <w:p w14:paraId="5130D8AF" w14:textId="547BEB82" w:rsidR="00251147" w:rsidRDefault="00A47C9B" w:rsidP="00A47C9B">
    <w:pPr>
      <w:pStyle w:val="Header"/>
      <w:tabs>
        <w:tab w:val="clear" w:pos="4513"/>
        <w:tab w:val="clear" w:pos="9026"/>
        <w:tab w:val="left" w:pos="119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DB6"/>
    <w:multiLevelType w:val="hybridMultilevel"/>
    <w:tmpl w:val="53D43D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B183C"/>
    <w:multiLevelType w:val="hybridMultilevel"/>
    <w:tmpl w:val="61CE8994"/>
    <w:lvl w:ilvl="0" w:tplc="2090A7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2556"/>
    <w:multiLevelType w:val="hybridMultilevel"/>
    <w:tmpl w:val="3F18C9A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13EA4"/>
    <w:multiLevelType w:val="hybridMultilevel"/>
    <w:tmpl w:val="0610052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2177C"/>
    <w:multiLevelType w:val="hybridMultilevel"/>
    <w:tmpl w:val="6D6C2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C5055"/>
    <w:multiLevelType w:val="multilevel"/>
    <w:tmpl w:val="309C46BA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69D0033"/>
    <w:multiLevelType w:val="multilevel"/>
    <w:tmpl w:val="C424220E"/>
    <w:lvl w:ilvl="0">
      <w:start w:val="6"/>
      <w:numFmt w:val="decimal"/>
      <w:lvlText w:val="%1.0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7">
    <w:nsid w:val="2CE47327"/>
    <w:multiLevelType w:val="multilevel"/>
    <w:tmpl w:val="C38A2E92"/>
    <w:lvl w:ilvl="0">
      <w:start w:val="11"/>
      <w:numFmt w:val="decimal"/>
      <w:lvlText w:val="%1.0"/>
      <w:lvlJc w:val="left"/>
      <w:pPr>
        <w:ind w:left="735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5" w:hanging="1440"/>
      </w:pPr>
      <w:rPr>
        <w:rFonts w:hint="default"/>
      </w:rPr>
    </w:lvl>
  </w:abstractNum>
  <w:abstractNum w:abstractNumId="8">
    <w:nsid w:val="2D736353"/>
    <w:multiLevelType w:val="hybridMultilevel"/>
    <w:tmpl w:val="4A1444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9249E4"/>
    <w:multiLevelType w:val="hybridMultilevel"/>
    <w:tmpl w:val="EDEE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75C81"/>
    <w:multiLevelType w:val="hybridMultilevel"/>
    <w:tmpl w:val="16225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A73A6"/>
    <w:multiLevelType w:val="hybridMultilevel"/>
    <w:tmpl w:val="6CF20DAA"/>
    <w:lvl w:ilvl="0" w:tplc="F5BE3A14">
      <w:start w:val="110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7B610F5"/>
    <w:multiLevelType w:val="multilevel"/>
    <w:tmpl w:val="9A261952"/>
    <w:lvl w:ilvl="0">
      <w:start w:val="10"/>
      <w:numFmt w:val="decimal"/>
      <w:lvlText w:val="%1.0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>
    <w:nsid w:val="3DB03FEA"/>
    <w:multiLevelType w:val="hybridMultilevel"/>
    <w:tmpl w:val="450C4AD0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4736274F"/>
    <w:multiLevelType w:val="hybridMultilevel"/>
    <w:tmpl w:val="2AEE5E5C"/>
    <w:lvl w:ilvl="0" w:tplc="62E43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51F13"/>
    <w:multiLevelType w:val="multilevel"/>
    <w:tmpl w:val="88663A38"/>
    <w:lvl w:ilvl="0">
      <w:start w:val="10"/>
      <w:numFmt w:val="decimal"/>
      <w:lvlText w:val="%1.0"/>
      <w:lvlJc w:val="left"/>
      <w:pPr>
        <w:ind w:left="6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0" w:hanging="1440"/>
      </w:pPr>
      <w:rPr>
        <w:rFonts w:hint="default"/>
      </w:rPr>
    </w:lvl>
  </w:abstractNum>
  <w:abstractNum w:abstractNumId="16">
    <w:nsid w:val="51270B79"/>
    <w:multiLevelType w:val="hybridMultilevel"/>
    <w:tmpl w:val="CA28DF0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F0DDE"/>
    <w:multiLevelType w:val="multilevel"/>
    <w:tmpl w:val="72B068A0"/>
    <w:lvl w:ilvl="0">
      <w:start w:val="1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69315A04"/>
    <w:multiLevelType w:val="hybridMultilevel"/>
    <w:tmpl w:val="21C25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658E0"/>
    <w:multiLevelType w:val="hybridMultilevel"/>
    <w:tmpl w:val="93082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12837"/>
    <w:multiLevelType w:val="hybridMultilevel"/>
    <w:tmpl w:val="67B64308"/>
    <w:lvl w:ilvl="0" w:tplc="7CBCD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5C63EE"/>
    <w:multiLevelType w:val="multilevel"/>
    <w:tmpl w:val="E5C0B342"/>
    <w:lvl w:ilvl="0">
      <w:start w:val="1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7EB36F9E"/>
    <w:multiLevelType w:val="hybridMultilevel"/>
    <w:tmpl w:val="B9522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16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4"/>
  </w:num>
  <w:num w:numId="11">
    <w:abstractNumId w:val="4"/>
  </w:num>
  <w:num w:numId="12">
    <w:abstractNumId w:val="19"/>
  </w:num>
  <w:num w:numId="13">
    <w:abstractNumId w:val="18"/>
  </w:num>
  <w:num w:numId="14">
    <w:abstractNumId w:val="6"/>
  </w:num>
  <w:num w:numId="15">
    <w:abstractNumId w:val="20"/>
  </w:num>
  <w:num w:numId="16">
    <w:abstractNumId w:val="2"/>
  </w:num>
  <w:num w:numId="17">
    <w:abstractNumId w:val="12"/>
  </w:num>
  <w:num w:numId="18">
    <w:abstractNumId w:val="15"/>
  </w:num>
  <w:num w:numId="19">
    <w:abstractNumId w:val="5"/>
  </w:num>
  <w:num w:numId="20">
    <w:abstractNumId w:val="11"/>
  </w:num>
  <w:num w:numId="21">
    <w:abstractNumId w:val="7"/>
  </w:num>
  <w:num w:numId="22">
    <w:abstractNumId w:val="17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33"/>
    <w:rsid w:val="00005408"/>
    <w:rsid w:val="00013005"/>
    <w:rsid w:val="000358C8"/>
    <w:rsid w:val="00045023"/>
    <w:rsid w:val="000555D0"/>
    <w:rsid w:val="00061223"/>
    <w:rsid w:val="00073501"/>
    <w:rsid w:val="0008439C"/>
    <w:rsid w:val="00090120"/>
    <w:rsid w:val="000C0767"/>
    <w:rsid w:val="000E0B2B"/>
    <w:rsid w:val="000F1EC6"/>
    <w:rsid w:val="000F28B5"/>
    <w:rsid w:val="000F2963"/>
    <w:rsid w:val="0011429D"/>
    <w:rsid w:val="00140BC3"/>
    <w:rsid w:val="00144DBC"/>
    <w:rsid w:val="001624A5"/>
    <w:rsid w:val="00177562"/>
    <w:rsid w:val="001A055A"/>
    <w:rsid w:val="001A226A"/>
    <w:rsid w:val="001A3115"/>
    <w:rsid w:val="001B225E"/>
    <w:rsid w:val="001C4B0E"/>
    <w:rsid w:val="001D0566"/>
    <w:rsid w:val="001E5AFD"/>
    <w:rsid w:val="001F2892"/>
    <w:rsid w:val="00206DD4"/>
    <w:rsid w:val="00206E38"/>
    <w:rsid w:val="002071C0"/>
    <w:rsid w:val="00216300"/>
    <w:rsid w:val="00236989"/>
    <w:rsid w:val="00240727"/>
    <w:rsid w:val="00251147"/>
    <w:rsid w:val="00266B67"/>
    <w:rsid w:val="00266BF4"/>
    <w:rsid w:val="002C327C"/>
    <w:rsid w:val="002D1CFE"/>
    <w:rsid w:val="002D50B1"/>
    <w:rsid w:val="002E0B01"/>
    <w:rsid w:val="002F51F7"/>
    <w:rsid w:val="003012C5"/>
    <w:rsid w:val="00310489"/>
    <w:rsid w:val="00325BD9"/>
    <w:rsid w:val="00326253"/>
    <w:rsid w:val="003413DD"/>
    <w:rsid w:val="00344081"/>
    <w:rsid w:val="003778F6"/>
    <w:rsid w:val="00397921"/>
    <w:rsid w:val="003B568E"/>
    <w:rsid w:val="003D7541"/>
    <w:rsid w:val="003E42A7"/>
    <w:rsid w:val="003F213A"/>
    <w:rsid w:val="004075DE"/>
    <w:rsid w:val="004218C8"/>
    <w:rsid w:val="00470570"/>
    <w:rsid w:val="004725E0"/>
    <w:rsid w:val="004823B7"/>
    <w:rsid w:val="004C5B44"/>
    <w:rsid w:val="00504802"/>
    <w:rsid w:val="00522E8F"/>
    <w:rsid w:val="005320C5"/>
    <w:rsid w:val="005358B4"/>
    <w:rsid w:val="005460E4"/>
    <w:rsid w:val="005553E2"/>
    <w:rsid w:val="005579E8"/>
    <w:rsid w:val="00560756"/>
    <w:rsid w:val="00567C73"/>
    <w:rsid w:val="00572692"/>
    <w:rsid w:val="005810F0"/>
    <w:rsid w:val="005A15C4"/>
    <w:rsid w:val="005B71D7"/>
    <w:rsid w:val="005C41E1"/>
    <w:rsid w:val="005D26EF"/>
    <w:rsid w:val="00643404"/>
    <w:rsid w:val="00646583"/>
    <w:rsid w:val="00654800"/>
    <w:rsid w:val="00666740"/>
    <w:rsid w:val="0068528F"/>
    <w:rsid w:val="00685815"/>
    <w:rsid w:val="00687D85"/>
    <w:rsid w:val="006C357C"/>
    <w:rsid w:val="006E16E6"/>
    <w:rsid w:val="006F7083"/>
    <w:rsid w:val="00712023"/>
    <w:rsid w:val="00753D8A"/>
    <w:rsid w:val="007726AE"/>
    <w:rsid w:val="0078190F"/>
    <w:rsid w:val="00784142"/>
    <w:rsid w:val="00790ED1"/>
    <w:rsid w:val="007A55D5"/>
    <w:rsid w:val="007B5D47"/>
    <w:rsid w:val="007C260C"/>
    <w:rsid w:val="007D27EA"/>
    <w:rsid w:val="007D6271"/>
    <w:rsid w:val="008045AB"/>
    <w:rsid w:val="00836DC4"/>
    <w:rsid w:val="00842F79"/>
    <w:rsid w:val="00852974"/>
    <w:rsid w:val="00863142"/>
    <w:rsid w:val="00880147"/>
    <w:rsid w:val="00891F4F"/>
    <w:rsid w:val="008A2F33"/>
    <w:rsid w:val="008B0791"/>
    <w:rsid w:val="008F2A90"/>
    <w:rsid w:val="00902228"/>
    <w:rsid w:val="009029BE"/>
    <w:rsid w:val="00920A60"/>
    <w:rsid w:val="009300B9"/>
    <w:rsid w:val="00935357"/>
    <w:rsid w:val="00941D03"/>
    <w:rsid w:val="00973B6D"/>
    <w:rsid w:val="00974AC4"/>
    <w:rsid w:val="009809D6"/>
    <w:rsid w:val="00990A30"/>
    <w:rsid w:val="009B7B27"/>
    <w:rsid w:val="009C7424"/>
    <w:rsid w:val="009D10E7"/>
    <w:rsid w:val="009D67DE"/>
    <w:rsid w:val="009E451E"/>
    <w:rsid w:val="00A00688"/>
    <w:rsid w:val="00A16D85"/>
    <w:rsid w:val="00A30C40"/>
    <w:rsid w:val="00A3487B"/>
    <w:rsid w:val="00A408C9"/>
    <w:rsid w:val="00A4251D"/>
    <w:rsid w:val="00A47C9B"/>
    <w:rsid w:val="00A50D1F"/>
    <w:rsid w:val="00A6230F"/>
    <w:rsid w:val="00A65AA3"/>
    <w:rsid w:val="00A66AA6"/>
    <w:rsid w:val="00A675E9"/>
    <w:rsid w:val="00A74B27"/>
    <w:rsid w:val="00A7563A"/>
    <w:rsid w:val="00AA05E0"/>
    <w:rsid w:val="00AA5E23"/>
    <w:rsid w:val="00AD7920"/>
    <w:rsid w:val="00AE3038"/>
    <w:rsid w:val="00AE3712"/>
    <w:rsid w:val="00AE4A20"/>
    <w:rsid w:val="00AE6C53"/>
    <w:rsid w:val="00AE7B4F"/>
    <w:rsid w:val="00B07D83"/>
    <w:rsid w:val="00B37CF0"/>
    <w:rsid w:val="00B42E59"/>
    <w:rsid w:val="00B43080"/>
    <w:rsid w:val="00B53082"/>
    <w:rsid w:val="00B5514D"/>
    <w:rsid w:val="00B57D77"/>
    <w:rsid w:val="00B6562C"/>
    <w:rsid w:val="00B66645"/>
    <w:rsid w:val="00B719F6"/>
    <w:rsid w:val="00B8443E"/>
    <w:rsid w:val="00B87C0C"/>
    <w:rsid w:val="00B91E52"/>
    <w:rsid w:val="00B948D9"/>
    <w:rsid w:val="00BE5187"/>
    <w:rsid w:val="00C21C06"/>
    <w:rsid w:val="00C41767"/>
    <w:rsid w:val="00C657FC"/>
    <w:rsid w:val="00C65CAA"/>
    <w:rsid w:val="00C9164C"/>
    <w:rsid w:val="00C91FB5"/>
    <w:rsid w:val="00C92D39"/>
    <w:rsid w:val="00C947B7"/>
    <w:rsid w:val="00C95E13"/>
    <w:rsid w:val="00CB2A3E"/>
    <w:rsid w:val="00CC1793"/>
    <w:rsid w:val="00CD579C"/>
    <w:rsid w:val="00CD6526"/>
    <w:rsid w:val="00CD7073"/>
    <w:rsid w:val="00CE35E1"/>
    <w:rsid w:val="00CE6604"/>
    <w:rsid w:val="00D0232F"/>
    <w:rsid w:val="00D02D03"/>
    <w:rsid w:val="00D05C72"/>
    <w:rsid w:val="00D13157"/>
    <w:rsid w:val="00D161F5"/>
    <w:rsid w:val="00D1635A"/>
    <w:rsid w:val="00D177CF"/>
    <w:rsid w:val="00D562A6"/>
    <w:rsid w:val="00D60C93"/>
    <w:rsid w:val="00D7433E"/>
    <w:rsid w:val="00D86B57"/>
    <w:rsid w:val="00D93A81"/>
    <w:rsid w:val="00DB5E65"/>
    <w:rsid w:val="00DC3F71"/>
    <w:rsid w:val="00DC54FF"/>
    <w:rsid w:val="00DC5E7B"/>
    <w:rsid w:val="00DE4E76"/>
    <w:rsid w:val="00DE708F"/>
    <w:rsid w:val="00DF34F7"/>
    <w:rsid w:val="00E10A7F"/>
    <w:rsid w:val="00E24D51"/>
    <w:rsid w:val="00E2759C"/>
    <w:rsid w:val="00E46411"/>
    <w:rsid w:val="00E53061"/>
    <w:rsid w:val="00E7080E"/>
    <w:rsid w:val="00E86644"/>
    <w:rsid w:val="00ED48FC"/>
    <w:rsid w:val="00ED783E"/>
    <w:rsid w:val="00F142A2"/>
    <w:rsid w:val="00F17CB9"/>
    <w:rsid w:val="00F3119A"/>
    <w:rsid w:val="00F32093"/>
    <w:rsid w:val="00F325E3"/>
    <w:rsid w:val="00F33739"/>
    <w:rsid w:val="00F37A4B"/>
    <w:rsid w:val="00F766E5"/>
    <w:rsid w:val="00F7677D"/>
    <w:rsid w:val="00F76D86"/>
    <w:rsid w:val="00FA0ED1"/>
    <w:rsid w:val="00FA6A2E"/>
    <w:rsid w:val="00FB3F47"/>
    <w:rsid w:val="00FB61B6"/>
    <w:rsid w:val="00FC22CC"/>
    <w:rsid w:val="00FD2E74"/>
    <w:rsid w:val="00FD4C6C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CD50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47"/>
  </w:style>
  <w:style w:type="paragraph" w:styleId="Footer">
    <w:name w:val="footer"/>
    <w:basedOn w:val="Normal"/>
    <w:link w:val="FooterChar"/>
    <w:uiPriority w:val="99"/>
    <w:unhideWhenUsed/>
    <w:rsid w:val="00251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47"/>
  </w:style>
  <w:style w:type="paragraph" w:styleId="BalloonText">
    <w:name w:val="Balloon Text"/>
    <w:basedOn w:val="Normal"/>
    <w:link w:val="BalloonTextChar"/>
    <w:uiPriority w:val="99"/>
    <w:semiHidden/>
    <w:unhideWhenUsed/>
    <w:rsid w:val="0025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47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852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8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08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8C9"/>
    <w:rPr>
      <w:color w:val="800080" w:themeColor="followedHyperlink"/>
      <w:u w:val="singl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locked/>
    <w:rsid w:val="00470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47"/>
  </w:style>
  <w:style w:type="paragraph" w:styleId="Footer">
    <w:name w:val="footer"/>
    <w:basedOn w:val="Normal"/>
    <w:link w:val="FooterChar"/>
    <w:uiPriority w:val="99"/>
    <w:unhideWhenUsed/>
    <w:rsid w:val="00251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47"/>
  </w:style>
  <w:style w:type="paragraph" w:styleId="BalloonText">
    <w:name w:val="Balloon Text"/>
    <w:basedOn w:val="Normal"/>
    <w:link w:val="BalloonTextChar"/>
    <w:uiPriority w:val="99"/>
    <w:semiHidden/>
    <w:unhideWhenUsed/>
    <w:rsid w:val="0025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47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852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8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08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8C9"/>
    <w:rPr>
      <w:color w:val="800080" w:themeColor="followedHyperlink"/>
      <w:u w:val="singl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locked/>
    <w:rsid w:val="0047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43B2F6BAD0A4BBDACE34D99A0EEDE" ma:contentTypeVersion="7" ma:contentTypeDescription="Create a new document." ma:contentTypeScope="" ma:versionID="108167a38a90d18eba6ec682ca95a6a9">
  <xsd:schema xmlns:xsd="http://www.w3.org/2001/XMLSchema" xmlns:xs="http://www.w3.org/2001/XMLSchema" xmlns:p="http://schemas.microsoft.com/office/2006/metadata/properties" xmlns:ns3="b0f4a54c-a409-44a3-b7a3-4d54bc6b0b28" xmlns:ns4="cc2b80bf-5b7d-40b6-91b7-03f49ee90a97" targetNamespace="http://schemas.microsoft.com/office/2006/metadata/properties" ma:root="true" ma:fieldsID="f26f035ec7146b64b3bf74941161a525" ns3:_="" ns4:_="">
    <xsd:import namespace="b0f4a54c-a409-44a3-b7a3-4d54bc6b0b28"/>
    <xsd:import namespace="cc2b80bf-5b7d-40b6-91b7-03f49ee90a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a54c-a409-44a3-b7a3-4d54bc6b0b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80bf-5b7d-40b6-91b7-03f49ee90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6AD9-463B-4480-B5B8-14E8DD647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46E19-1DD3-4257-BB7E-02BCB3CF0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4a54c-a409-44a3-b7a3-4d54bc6b0b28"/>
    <ds:schemaRef ds:uri="cc2b80bf-5b7d-40b6-91b7-03f49ee90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ECF67-F9C5-48BC-9D31-24920273303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2b80bf-5b7d-40b6-91b7-03f49ee90a97"/>
    <ds:schemaRef ds:uri="b0f4a54c-a409-44a3-b7a3-4d54bc6b0b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3E2905-90CB-4EC6-96CB-0E5580C8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8BC9640E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Assurance Committee</vt:lpstr>
    </vt:vector>
  </TitlesOfParts>
  <Company>York Teaching Hospitals NHS Foundation Trust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Assurance Committee</dc:title>
  <dc:creator>Lynne Mellor</dc:creator>
  <cp:lastModifiedBy>Gaynor, Cheryl</cp:lastModifiedBy>
  <cp:revision>2</cp:revision>
  <cp:lastPrinted>2020-01-21T08:31:00Z</cp:lastPrinted>
  <dcterms:created xsi:type="dcterms:W3CDTF">2022-01-25T09:55:00Z</dcterms:created>
  <dcterms:modified xsi:type="dcterms:W3CDTF">2022-01-25T09:55:00Z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0x010100AC343B2F6BAD0A4BBDACE34D99A0EEDE</vt:lpwstr>
  </property>
</Properties>
</file>