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52F5" w14:textId="567EE927" w:rsidR="008A2F33" w:rsidRPr="008A2F33" w:rsidRDefault="008A2F33">
      <w:pPr>
        <w:rPr>
          <w:b/>
        </w:rPr>
      </w:pPr>
    </w:p>
    <w:tbl>
      <w:tblPr>
        <w:tblStyle w:val="TableGrid"/>
        <w:tblW w:w="15305" w:type="dxa"/>
        <w:tblLook w:val="04A0" w:firstRow="1" w:lastRow="0" w:firstColumn="1" w:lastColumn="0" w:noHBand="0" w:noVBand="1"/>
      </w:tblPr>
      <w:tblGrid>
        <w:gridCol w:w="8785"/>
        <w:gridCol w:w="3118"/>
        <w:gridCol w:w="3402"/>
      </w:tblGrid>
      <w:tr w:rsidR="00DF34F7" w:rsidRPr="000050BE" w14:paraId="28D8F33D" w14:textId="77777777" w:rsidTr="004024FB">
        <w:trPr>
          <w:trHeight w:val="653"/>
        </w:trPr>
        <w:tc>
          <w:tcPr>
            <w:tcW w:w="8785" w:type="dxa"/>
            <w:shd w:val="clear" w:color="auto" w:fill="D9D9D9" w:themeFill="background1" w:themeFillShade="D9"/>
          </w:tcPr>
          <w:p w14:paraId="1FEEB0B1" w14:textId="70A7A7F4" w:rsidR="0084096F" w:rsidRPr="000050BE" w:rsidRDefault="001A25AD" w:rsidP="00DA42E3">
            <w:pPr>
              <w:spacing w:before="240"/>
              <w:rPr>
                <w:rFonts w:ascii="Arial" w:eastAsia="Calibri" w:hAnsi="Arial" w:cs="Arial"/>
                <w:b/>
                <w:bCs/>
                <w:noProof/>
                <w:color w:val="0072C6"/>
                <w:lang w:eastAsia="en-GB"/>
              </w:rPr>
            </w:pPr>
            <w:r w:rsidRPr="000050BE">
              <w:rPr>
                <w:rFonts w:ascii="Arial" w:eastAsia="Calibri" w:hAnsi="Arial" w:cs="Arial"/>
                <w:b/>
                <w:bCs/>
                <w:noProof/>
                <w:color w:val="0072C6"/>
                <w:lang w:eastAsia="en-GB"/>
              </w:rPr>
              <w:t>Chair Brief</w:t>
            </w:r>
            <w:r w:rsidR="00965BFE" w:rsidRPr="000050BE">
              <w:rPr>
                <w:rFonts w:ascii="Arial" w:eastAsia="Calibri" w:hAnsi="Arial" w:cs="Arial"/>
                <w:b/>
                <w:bCs/>
                <w:noProof/>
                <w:color w:val="0072C6"/>
                <w:lang w:eastAsia="en-GB"/>
              </w:rPr>
              <w:t xml:space="preserve">: </w:t>
            </w:r>
            <w:r w:rsidRPr="000050BE">
              <w:rPr>
                <w:rFonts w:ascii="Arial" w:eastAsia="Calibri" w:hAnsi="Arial" w:cs="Arial"/>
                <w:b/>
                <w:bCs/>
                <w:noProof/>
                <w:color w:val="0072C6"/>
                <w:lang w:eastAsia="en-GB"/>
              </w:rPr>
              <w:t xml:space="preserve"> Digital, Performance &amp; Finance</w:t>
            </w:r>
            <w:r w:rsidR="000050BE">
              <w:rPr>
                <w:rFonts w:ascii="Arial" w:eastAsia="Calibri" w:hAnsi="Arial" w:cs="Arial"/>
                <w:b/>
                <w:bCs/>
                <w:noProof/>
                <w:color w:val="0072C6"/>
                <w:lang w:eastAsia="en-GB"/>
              </w:rPr>
              <w:t xml:space="preserve"> (DPF)</w:t>
            </w:r>
            <w:r w:rsidRPr="000050BE">
              <w:rPr>
                <w:rFonts w:ascii="Arial" w:eastAsia="Calibri" w:hAnsi="Arial" w:cs="Arial"/>
                <w:b/>
                <w:bCs/>
                <w:noProof/>
                <w:color w:val="0072C6"/>
                <w:lang w:eastAsia="en-GB"/>
              </w:rPr>
              <w:t xml:space="preserve"> </w:t>
            </w:r>
            <w:r w:rsidR="00895F5A">
              <w:rPr>
                <w:rFonts w:ascii="Arial" w:eastAsia="Calibri" w:hAnsi="Arial" w:cs="Arial"/>
                <w:b/>
                <w:bCs/>
                <w:noProof/>
                <w:color w:val="0072C6"/>
                <w:lang w:eastAsia="en-GB"/>
              </w:rPr>
              <w:t xml:space="preserve">Board </w:t>
            </w:r>
            <w:r w:rsidR="00DF34F7" w:rsidRPr="000050BE">
              <w:rPr>
                <w:rFonts w:ascii="Arial" w:eastAsia="Calibri" w:hAnsi="Arial" w:cs="Arial"/>
                <w:b/>
                <w:bCs/>
                <w:noProof/>
                <w:color w:val="0072C6"/>
                <w:lang w:eastAsia="en-GB"/>
              </w:rPr>
              <w:t>Assurance Committee</w:t>
            </w:r>
          </w:p>
        </w:tc>
        <w:tc>
          <w:tcPr>
            <w:tcW w:w="3118" w:type="dxa"/>
            <w:shd w:val="clear" w:color="auto" w:fill="D9D9D9" w:themeFill="background1" w:themeFillShade="D9"/>
          </w:tcPr>
          <w:p w14:paraId="65B75B5E" w14:textId="41B74B63" w:rsidR="00DF34F7" w:rsidRPr="000050BE" w:rsidRDefault="00DF34F7" w:rsidP="00DA42E3">
            <w:pPr>
              <w:spacing w:before="240"/>
              <w:rPr>
                <w:rFonts w:ascii="Arial" w:eastAsia="Calibri" w:hAnsi="Arial" w:cs="Arial"/>
                <w:b/>
                <w:bCs/>
                <w:noProof/>
                <w:color w:val="0072C6"/>
                <w:lang w:eastAsia="en-GB"/>
              </w:rPr>
            </w:pPr>
            <w:r w:rsidRPr="000050BE">
              <w:rPr>
                <w:rFonts w:ascii="Arial" w:eastAsia="Calibri" w:hAnsi="Arial" w:cs="Arial"/>
                <w:b/>
                <w:bCs/>
                <w:noProof/>
                <w:color w:val="0072C6"/>
                <w:lang w:eastAsia="en-GB"/>
              </w:rPr>
              <w:t>Chair: Lynne Mellor</w:t>
            </w:r>
          </w:p>
        </w:tc>
        <w:tc>
          <w:tcPr>
            <w:tcW w:w="3402" w:type="dxa"/>
            <w:shd w:val="clear" w:color="auto" w:fill="D9D9D9" w:themeFill="background1" w:themeFillShade="D9"/>
          </w:tcPr>
          <w:p w14:paraId="4639013C" w14:textId="12A9B9E2" w:rsidR="00DF34F7" w:rsidRPr="000050BE" w:rsidRDefault="00DF34F7" w:rsidP="00DA42E3">
            <w:pPr>
              <w:spacing w:before="240"/>
              <w:ind w:right="-814"/>
              <w:rPr>
                <w:rFonts w:ascii="Arial" w:eastAsia="Calibri" w:hAnsi="Arial" w:cs="Arial"/>
                <w:b/>
                <w:bCs/>
                <w:noProof/>
                <w:color w:val="0072C6"/>
                <w:lang w:eastAsia="en-GB"/>
              </w:rPr>
            </w:pPr>
            <w:r w:rsidRPr="000050BE">
              <w:rPr>
                <w:rFonts w:ascii="Arial" w:eastAsia="Calibri" w:hAnsi="Arial" w:cs="Arial"/>
                <w:b/>
                <w:bCs/>
                <w:noProof/>
                <w:color w:val="0072C6"/>
                <w:lang w:eastAsia="en-GB"/>
              </w:rPr>
              <w:t xml:space="preserve">Date: </w:t>
            </w:r>
            <w:r w:rsidR="007B1739">
              <w:rPr>
                <w:rFonts w:ascii="Arial" w:eastAsia="Calibri" w:hAnsi="Arial" w:cs="Arial"/>
                <w:b/>
                <w:bCs/>
                <w:noProof/>
                <w:color w:val="0072C6"/>
                <w:lang w:eastAsia="en-GB"/>
              </w:rPr>
              <w:t>2</w:t>
            </w:r>
            <w:r w:rsidR="00E8307C">
              <w:rPr>
                <w:rFonts w:ascii="Arial" w:eastAsia="Calibri" w:hAnsi="Arial" w:cs="Arial"/>
                <w:b/>
                <w:bCs/>
                <w:noProof/>
                <w:color w:val="0072C6"/>
                <w:lang w:eastAsia="en-GB"/>
              </w:rPr>
              <w:t>1</w:t>
            </w:r>
            <w:r w:rsidR="007B1739">
              <w:rPr>
                <w:rFonts w:ascii="Arial" w:eastAsia="Calibri" w:hAnsi="Arial" w:cs="Arial"/>
                <w:b/>
                <w:bCs/>
                <w:noProof/>
                <w:color w:val="0072C6"/>
                <w:lang w:eastAsia="en-GB"/>
              </w:rPr>
              <w:t xml:space="preserve"> March </w:t>
            </w:r>
            <w:r w:rsidRPr="000050BE">
              <w:rPr>
                <w:rFonts w:ascii="Arial" w:eastAsia="Calibri" w:hAnsi="Arial" w:cs="Arial"/>
                <w:b/>
                <w:bCs/>
                <w:noProof/>
                <w:color w:val="0072C6"/>
                <w:lang w:eastAsia="en-GB"/>
              </w:rPr>
              <w:t>202</w:t>
            </w:r>
            <w:r w:rsidR="00905287">
              <w:rPr>
                <w:rFonts w:ascii="Arial" w:eastAsia="Calibri" w:hAnsi="Arial" w:cs="Arial"/>
                <w:b/>
                <w:bCs/>
                <w:noProof/>
                <w:color w:val="0072C6"/>
                <w:lang w:eastAsia="en-GB"/>
              </w:rPr>
              <w:t>3</w:t>
            </w:r>
          </w:p>
        </w:tc>
      </w:tr>
    </w:tbl>
    <w:p w14:paraId="25F844A0" w14:textId="0799D532" w:rsidR="008A2F33" w:rsidRPr="007248D9" w:rsidRDefault="000050BE" w:rsidP="00895F5A">
      <w:pPr>
        <w:spacing w:after="0"/>
        <w:rPr>
          <w:i/>
          <w:iCs/>
        </w:rPr>
      </w:pPr>
      <w:r w:rsidRPr="007248D9">
        <w:rPr>
          <w:i/>
          <w:iCs/>
        </w:rPr>
        <w:t xml:space="preserve">2022-3 – Trust Priorities covered by DPF </w:t>
      </w:r>
      <w:r w:rsidR="00895F5A" w:rsidRPr="007248D9">
        <w:rPr>
          <w:i/>
          <w:iCs/>
        </w:rPr>
        <w:t xml:space="preserve">Board Assurance </w:t>
      </w:r>
      <w:r w:rsidRPr="007248D9">
        <w:rPr>
          <w:i/>
          <w:iCs/>
        </w:rPr>
        <w:t>Committee: Acute Flow &amp; Elective Backlog</w:t>
      </w:r>
    </w:p>
    <w:tbl>
      <w:tblPr>
        <w:tblStyle w:val="TableGrid"/>
        <w:tblW w:w="15388" w:type="dxa"/>
        <w:tblLook w:val="04A0" w:firstRow="1" w:lastRow="0" w:firstColumn="1" w:lastColumn="0" w:noHBand="0" w:noVBand="1"/>
      </w:tblPr>
      <w:tblGrid>
        <w:gridCol w:w="1467"/>
        <w:gridCol w:w="994"/>
        <w:gridCol w:w="4766"/>
        <w:gridCol w:w="834"/>
        <w:gridCol w:w="519"/>
        <w:gridCol w:w="506"/>
        <w:gridCol w:w="1709"/>
        <w:gridCol w:w="142"/>
        <w:gridCol w:w="362"/>
        <w:gridCol w:w="638"/>
        <w:gridCol w:w="1460"/>
        <w:gridCol w:w="651"/>
        <w:gridCol w:w="1340"/>
      </w:tblGrid>
      <w:tr w:rsidR="00CC4B60" w14:paraId="0ABA047B" w14:textId="77777777" w:rsidTr="00A15624">
        <w:tc>
          <w:tcPr>
            <w:tcW w:w="11937" w:type="dxa"/>
            <w:gridSpan w:val="10"/>
            <w:shd w:val="clear" w:color="auto" w:fill="D9D9D9" w:themeFill="background1" w:themeFillShade="D9"/>
            <w:vAlign w:val="center"/>
          </w:tcPr>
          <w:p w14:paraId="4453A86C" w14:textId="5B6B1431" w:rsidR="007248D9" w:rsidRPr="008A2F33" w:rsidRDefault="007248D9" w:rsidP="008A2F33">
            <w:pPr>
              <w:jc w:val="center"/>
              <w:rPr>
                <w:b/>
              </w:rPr>
            </w:pPr>
            <w:r>
              <w:rPr>
                <w:b/>
              </w:rPr>
              <w:t>Summary</w:t>
            </w:r>
          </w:p>
        </w:tc>
        <w:tc>
          <w:tcPr>
            <w:tcW w:w="1460" w:type="dxa"/>
            <w:shd w:val="clear" w:color="auto" w:fill="D9D9D9" w:themeFill="background1" w:themeFillShade="D9"/>
          </w:tcPr>
          <w:p w14:paraId="58710396" w14:textId="6F9C01D8" w:rsidR="007248D9" w:rsidRPr="008A2F33" w:rsidRDefault="007248D9" w:rsidP="00AA5E23">
            <w:pPr>
              <w:rPr>
                <w:b/>
              </w:rPr>
            </w:pPr>
            <w:r w:rsidRPr="008A2F33">
              <w:rPr>
                <w:b/>
              </w:rPr>
              <w:t>Receiving Body</w:t>
            </w:r>
            <w:r>
              <w:rPr>
                <w:b/>
              </w:rPr>
              <w:t>:</w:t>
            </w:r>
          </w:p>
          <w:p w14:paraId="10CB6DFE" w14:textId="77777777" w:rsidR="007248D9" w:rsidRDefault="007248D9" w:rsidP="00AA5E23">
            <w:pPr>
              <w:rPr>
                <w:b/>
              </w:rPr>
            </w:pPr>
            <w:r w:rsidRPr="008A2F33">
              <w:rPr>
                <w:b/>
              </w:rPr>
              <w:t>Board</w:t>
            </w:r>
            <w:r>
              <w:rPr>
                <w:b/>
              </w:rPr>
              <w:t>/</w:t>
            </w:r>
          </w:p>
          <w:p w14:paraId="02A36EDB" w14:textId="693E2983" w:rsidR="007248D9" w:rsidRPr="008A2F33" w:rsidRDefault="007248D9" w:rsidP="00AA5E23">
            <w:pPr>
              <w:rPr>
                <w:b/>
              </w:rPr>
            </w:pPr>
            <w:r w:rsidRPr="008A2F33">
              <w:rPr>
                <w:b/>
              </w:rPr>
              <w:t>Committee</w:t>
            </w:r>
          </w:p>
        </w:tc>
        <w:tc>
          <w:tcPr>
            <w:tcW w:w="1991" w:type="dxa"/>
            <w:gridSpan w:val="2"/>
            <w:shd w:val="clear" w:color="auto" w:fill="D9D9D9" w:themeFill="background1" w:themeFillShade="D9"/>
          </w:tcPr>
          <w:p w14:paraId="20B2B769" w14:textId="77777777" w:rsidR="007248D9" w:rsidRDefault="007248D9" w:rsidP="00251147">
            <w:pPr>
              <w:rPr>
                <w:b/>
              </w:rPr>
            </w:pPr>
            <w:r>
              <w:rPr>
                <w:b/>
              </w:rPr>
              <w:t>Recommendation/</w:t>
            </w:r>
          </w:p>
          <w:p w14:paraId="52E08779" w14:textId="5FC4EC86" w:rsidR="007248D9" w:rsidRPr="008A2F33" w:rsidRDefault="007248D9" w:rsidP="00251147">
            <w:pPr>
              <w:rPr>
                <w:b/>
              </w:rPr>
            </w:pPr>
            <w:r w:rsidRPr="008A2F33">
              <w:rPr>
                <w:b/>
              </w:rPr>
              <w:t xml:space="preserve">Assurance to </w:t>
            </w:r>
            <w:r>
              <w:rPr>
                <w:b/>
              </w:rPr>
              <w:t xml:space="preserve">the </w:t>
            </w:r>
            <w:r w:rsidRPr="008A2F33">
              <w:rPr>
                <w:b/>
              </w:rPr>
              <w:t>receiving body</w:t>
            </w:r>
            <w:r>
              <w:rPr>
                <w:b/>
              </w:rPr>
              <w:t xml:space="preserve">: </w:t>
            </w:r>
            <w:r w:rsidRPr="00AE6C53">
              <w:rPr>
                <w:b/>
                <w:sz w:val="18"/>
                <w:szCs w:val="18"/>
              </w:rPr>
              <w:t>Information, Action, Decision</w:t>
            </w:r>
          </w:p>
        </w:tc>
      </w:tr>
      <w:tr w:rsidR="00E92503" w14:paraId="36993DF2" w14:textId="77777777" w:rsidTr="00A15624">
        <w:tc>
          <w:tcPr>
            <w:tcW w:w="15388" w:type="dxa"/>
            <w:gridSpan w:val="13"/>
          </w:tcPr>
          <w:p w14:paraId="76B91CF8" w14:textId="1A8267E2" w:rsidR="00E92503" w:rsidRDefault="00E92503" w:rsidP="00FF7537">
            <w:pPr>
              <w:rPr>
                <w:rFonts w:ascii="Arial" w:eastAsia="Calibri" w:hAnsi="Arial" w:cs="Arial"/>
                <w:b/>
                <w:bCs/>
                <w:noProof/>
                <w:color w:val="0072C6"/>
                <w:lang w:eastAsia="en-GB"/>
              </w:rPr>
            </w:pPr>
            <w:r>
              <w:t xml:space="preserve">The Committee welcomed a </w:t>
            </w:r>
            <w:r w:rsidR="007B1739">
              <w:t>couple of guests</w:t>
            </w:r>
            <w:r>
              <w:t xml:space="preserve"> to the meeting</w:t>
            </w:r>
            <w:r w:rsidR="007B1739">
              <w:t xml:space="preserve">: </w:t>
            </w:r>
            <w:r>
              <w:t xml:space="preserve">the Governor </w:t>
            </w:r>
            <w:r w:rsidR="007B1739">
              <w:t xml:space="preserve">Catherine </w:t>
            </w:r>
            <w:r w:rsidR="00461FA2">
              <w:t>Thompson</w:t>
            </w:r>
            <w:r w:rsidR="00F662E1">
              <w:t>;</w:t>
            </w:r>
            <w:r>
              <w:t xml:space="preserve"> DIS:</w:t>
            </w:r>
            <w:r w:rsidR="007B1739">
              <w:t xml:space="preserve"> </w:t>
            </w:r>
            <w:r>
              <w:t>Nik Coventry</w:t>
            </w:r>
            <w:r w:rsidR="00364430">
              <w:t>, Luke Stockdale</w:t>
            </w:r>
            <w:r w:rsidR="00F662E1">
              <w:t>; YTHFT: Malcolm Veigas, Mark Steed, Jane Money</w:t>
            </w:r>
            <w:r>
              <w:t>.</w:t>
            </w:r>
          </w:p>
        </w:tc>
      </w:tr>
      <w:tr w:rsidR="00B66645" w14:paraId="609E69A8" w14:textId="77777777" w:rsidTr="00A15624">
        <w:tc>
          <w:tcPr>
            <w:tcW w:w="15388" w:type="dxa"/>
            <w:gridSpan w:val="13"/>
          </w:tcPr>
          <w:p w14:paraId="01BA3C0D" w14:textId="39D8D8EB" w:rsidR="00B66645" w:rsidRPr="00DB5E65" w:rsidRDefault="001A25AD" w:rsidP="00B66645">
            <w:pPr>
              <w:rPr>
                <w:rFonts w:ascii="Arial" w:eastAsia="Calibri" w:hAnsi="Arial" w:cs="Arial"/>
                <w:b/>
                <w:bCs/>
                <w:noProof/>
                <w:color w:val="0072C6"/>
                <w:lang w:eastAsia="en-GB"/>
              </w:rPr>
            </w:pPr>
            <w:r>
              <w:rPr>
                <w:rFonts w:ascii="Arial" w:eastAsia="Calibri" w:hAnsi="Arial" w:cs="Arial"/>
                <w:b/>
                <w:bCs/>
                <w:noProof/>
                <w:color w:val="0072C6"/>
                <w:lang w:eastAsia="en-GB"/>
              </w:rPr>
              <w:t>Digital</w:t>
            </w:r>
          </w:p>
        </w:tc>
      </w:tr>
      <w:tr w:rsidR="00CC4B60" w14:paraId="54FBD601" w14:textId="77777777" w:rsidTr="00A15624">
        <w:tc>
          <w:tcPr>
            <w:tcW w:w="1467" w:type="dxa"/>
          </w:tcPr>
          <w:p w14:paraId="318EF3D7" w14:textId="62608A46" w:rsidR="00965BFE" w:rsidRPr="00E2759C" w:rsidRDefault="007248D9" w:rsidP="00B66645">
            <w:pPr>
              <w:rPr>
                <w:b/>
                <w:bCs/>
                <w:sz w:val="20"/>
                <w:szCs w:val="20"/>
              </w:rPr>
            </w:pPr>
            <w:r>
              <w:rPr>
                <w:b/>
                <w:bCs/>
                <w:sz w:val="20"/>
                <w:szCs w:val="20"/>
              </w:rPr>
              <w:t>i)</w:t>
            </w:r>
          </w:p>
        </w:tc>
        <w:tc>
          <w:tcPr>
            <w:tcW w:w="10470" w:type="dxa"/>
            <w:gridSpan w:val="9"/>
          </w:tcPr>
          <w:p w14:paraId="716242AA" w14:textId="04701038" w:rsidR="003B0E16" w:rsidRPr="00893546" w:rsidRDefault="0085224C" w:rsidP="007B1739">
            <w:pPr>
              <w:pStyle w:val="ListParagraph"/>
              <w:numPr>
                <w:ilvl w:val="0"/>
                <w:numId w:val="24"/>
              </w:numPr>
              <w:ind w:left="242" w:hanging="242"/>
              <w:rPr>
                <w:b/>
                <w:bCs/>
              </w:rPr>
            </w:pPr>
            <w:r>
              <w:t>The Committee</w:t>
            </w:r>
            <w:r w:rsidR="00717E99">
              <w:t xml:space="preserve"> </w:t>
            </w:r>
            <w:r w:rsidR="007B1739">
              <w:t xml:space="preserve">received an update on the progress of </w:t>
            </w:r>
            <w:r w:rsidR="00532118">
              <w:t>EPR</w:t>
            </w:r>
            <w:r w:rsidR="007B1739">
              <w:t>. It noted the progress made, including the current market testing activity</w:t>
            </w:r>
            <w:r w:rsidR="004269D8">
              <w:t xml:space="preserve"> </w:t>
            </w:r>
            <w:r w:rsidR="007B1739">
              <w:t>.</w:t>
            </w:r>
            <w:r w:rsidR="00334A62">
              <w:t xml:space="preserve"> </w:t>
            </w:r>
            <w:r w:rsidR="004269D8">
              <w:t>A major</w:t>
            </w:r>
            <w:r w:rsidR="00334A62">
              <w:t xml:space="preserve"> milestone is national </w:t>
            </w:r>
            <w:r w:rsidR="00893546">
              <w:t xml:space="preserve">minimum </w:t>
            </w:r>
            <w:r w:rsidR="00334A62">
              <w:t xml:space="preserve">expectations met for EPR by March 2025. </w:t>
            </w:r>
            <w:r w:rsidR="00B97F48">
              <w:t>K</w:t>
            </w:r>
            <w:r w:rsidR="00334A62">
              <w:t xml:space="preserve">ey </w:t>
            </w:r>
            <w:r w:rsidR="00B97F48">
              <w:t>to the successful</w:t>
            </w:r>
            <w:r w:rsidR="00334A62">
              <w:t xml:space="preserve"> system </w:t>
            </w:r>
            <w:r w:rsidR="00B97F48">
              <w:t>deployment and adoption</w:t>
            </w:r>
            <w:r w:rsidR="00334A62">
              <w:t xml:space="preserve"> will be a move to </w:t>
            </w:r>
            <w:r w:rsidR="00B97F48">
              <w:t xml:space="preserve">a </w:t>
            </w:r>
            <w:r w:rsidR="00334A62">
              <w:t>paperless</w:t>
            </w:r>
            <w:r w:rsidR="00B97F48">
              <w:t xml:space="preserve"> strategy and</w:t>
            </w:r>
            <w:r w:rsidR="004269D8">
              <w:t xml:space="preserve"> the committee discussed the need for Trust support</w:t>
            </w:r>
            <w:r w:rsidR="00334A62">
              <w:t xml:space="preserve">. </w:t>
            </w:r>
            <w:r w:rsidR="00334A62" w:rsidRPr="00893546">
              <w:rPr>
                <w:b/>
                <w:bCs/>
              </w:rPr>
              <w:t>Action</w:t>
            </w:r>
            <w:r w:rsidR="00893546" w:rsidRPr="00893546">
              <w:rPr>
                <w:b/>
                <w:bCs/>
              </w:rPr>
              <w:t xml:space="preserve">: Board to </w:t>
            </w:r>
            <w:r w:rsidR="00240FBE">
              <w:rPr>
                <w:b/>
                <w:bCs/>
              </w:rPr>
              <w:t>review and discuss the</w:t>
            </w:r>
            <w:r w:rsidR="00012234">
              <w:rPr>
                <w:b/>
                <w:bCs/>
              </w:rPr>
              <w:t xml:space="preserve"> current</w:t>
            </w:r>
            <w:r w:rsidR="00893546" w:rsidRPr="00893546">
              <w:rPr>
                <w:b/>
                <w:bCs/>
              </w:rPr>
              <w:t xml:space="preserve"> </w:t>
            </w:r>
            <w:r w:rsidR="00893546">
              <w:rPr>
                <w:b/>
                <w:bCs/>
              </w:rPr>
              <w:t>‘</w:t>
            </w:r>
            <w:r w:rsidR="00893546" w:rsidRPr="00893546">
              <w:rPr>
                <w:b/>
                <w:bCs/>
              </w:rPr>
              <w:t>paperli</w:t>
            </w:r>
            <w:r w:rsidR="00AD4ADB">
              <w:rPr>
                <w:b/>
                <w:bCs/>
              </w:rPr>
              <w:t>ght</w:t>
            </w:r>
            <w:r w:rsidR="00893546" w:rsidRPr="00893546">
              <w:rPr>
                <w:b/>
                <w:bCs/>
              </w:rPr>
              <w:t xml:space="preserve"> strategy</w:t>
            </w:r>
            <w:r w:rsidR="00893546">
              <w:rPr>
                <w:b/>
                <w:bCs/>
              </w:rPr>
              <w:t>’</w:t>
            </w:r>
            <w:r w:rsidR="00893546" w:rsidRPr="00893546">
              <w:rPr>
                <w:b/>
                <w:bCs/>
              </w:rPr>
              <w:t xml:space="preserve"> and lead the way on </w:t>
            </w:r>
            <w:r w:rsidR="00893546">
              <w:rPr>
                <w:b/>
                <w:bCs/>
              </w:rPr>
              <w:t xml:space="preserve">e.g. </w:t>
            </w:r>
            <w:r w:rsidR="00893546" w:rsidRPr="00893546">
              <w:rPr>
                <w:b/>
                <w:bCs/>
              </w:rPr>
              <w:t>the</w:t>
            </w:r>
            <w:r w:rsidR="00893546">
              <w:rPr>
                <w:b/>
                <w:bCs/>
              </w:rPr>
              <w:t xml:space="preserve"> process, system,</w:t>
            </w:r>
            <w:r w:rsidR="00893546" w:rsidRPr="00893546">
              <w:rPr>
                <w:b/>
                <w:bCs/>
              </w:rPr>
              <w:t xml:space="preserve"> culture change needed </w:t>
            </w:r>
            <w:r w:rsidR="00893546">
              <w:rPr>
                <w:b/>
                <w:bCs/>
              </w:rPr>
              <w:t>for adoption</w:t>
            </w:r>
            <w:r w:rsidR="00561AE6">
              <w:rPr>
                <w:b/>
                <w:bCs/>
              </w:rPr>
              <w:t xml:space="preserve"> of a paperl</w:t>
            </w:r>
            <w:r w:rsidR="007F42BF">
              <w:rPr>
                <w:b/>
                <w:bCs/>
              </w:rPr>
              <w:t>i</w:t>
            </w:r>
            <w:r w:rsidR="00AD4ADB">
              <w:rPr>
                <w:b/>
                <w:bCs/>
              </w:rPr>
              <w:t>ght</w:t>
            </w:r>
            <w:r w:rsidR="00561AE6">
              <w:rPr>
                <w:b/>
                <w:bCs/>
              </w:rPr>
              <w:t xml:space="preserve"> strategy</w:t>
            </w:r>
            <w:r w:rsidR="00893546">
              <w:rPr>
                <w:b/>
                <w:bCs/>
              </w:rPr>
              <w:t xml:space="preserve"> </w:t>
            </w:r>
            <w:r w:rsidR="00893546" w:rsidRPr="00893546">
              <w:rPr>
                <w:b/>
                <w:bCs/>
              </w:rPr>
              <w:t xml:space="preserve">across </w:t>
            </w:r>
            <w:r w:rsidR="00893546">
              <w:rPr>
                <w:b/>
                <w:bCs/>
              </w:rPr>
              <w:t>the Trust</w:t>
            </w:r>
            <w:r w:rsidR="00893546" w:rsidRPr="00893546">
              <w:rPr>
                <w:b/>
                <w:bCs/>
              </w:rPr>
              <w:t>.</w:t>
            </w:r>
          </w:p>
          <w:p w14:paraId="29004103" w14:textId="77777777" w:rsidR="00A46875" w:rsidRDefault="00A46875" w:rsidP="007B1739">
            <w:pPr>
              <w:pStyle w:val="ListParagraph"/>
              <w:numPr>
                <w:ilvl w:val="0"/>
                <w:numId w:val="24"/>
              </w:numPr>
              <w:ind w:left="242" w:hanging="242"/>
            </w:pPr>
            <w:r>
              <w:t>Positive update on device management with a current review and reuse exercise, 6 devices have been identified for reuse. The next phase of the plan is to review a number of devices in use per user with the aim again to redistribute any not in use.</w:t>
            </w:r>
          </w:p>
          <w:p w14:paraId="542D3A86" w14:textId="545F6215" w:rsidR="00334A62" w:rsidRDefault="00334A62" w:rsidP="007B1739">
            <w:pPr>
              <w:pStyle w:val="ListParagraph"/>
              <w:numPr>
                <w:ilvl w:val="0"/>
                <w:numId w:val="24"/>
              </w:numPr>
              <w:ind w:left="242" w:hanging="242"/>
            </w:pPr>
            <w:r>
              <w:t>Positive progress on Learning Hub</w:t>
            </w:r>
            <w:r w:rsidR="00B97F48">
              <w:t xml:space="preserve"> issues,</w:t>
            </w:r>
            <w:r>
              <w:t xml:space="preserve"> with assurance given of the service having moved to the cloud </w:t>
            </w:r>
            <w:r w:rsidR="00B97F48">
              <w:t>providing</w:t>
            </w:r>
            <w:r>
              <w:t xml:space="preserve"> security and future risk mitigation benefits. Lessons learnt to be circulated.</w:t>
            </w:r>
          </w:p>
        </w:tc>
        <w:tc>
          <w:tcPr>
            <w:tcW w:w="1460" w:type="dxa"/>
          </w:tcPr>
          <w:p w14:paraId="12F0D38F" w14:textId="3B4DC956" w:rsidR="00334A62" w:rsidRDefault="00334A62">
            <w:r>
              <w:t>BOARD</w:t>
            </w:r>
          </w:p>
          <w:p w14:paraId="21F1F07E" w14:textId="77777777" w:rsidR="00334A62" w:rsidRDefault="00334A62"/>
          <w:p w14:paraId="67D070C7" w14:textId="77777777" w:rsidR="00060AF4" w:rsidRDefault="00060AF4"/>
          <w:p w14:paraId="490FC0DF" w14:textId="77777777" w:rsidR="00060AF4" w:rsidRDefault="00060AF4"/>
          <w:p w14:paraId="104BC75A" w14:textId="77777777" w:rsidR="005F1443" w:rsidRDefault="005F1443"/>
          <w:p w14:paraId="0F1B01E6" w14:textId="77777777" w:rsidR="005F1443" w:rsidRDefault="005F1443"/>
          <w:p w14:paraId="3FE17B44" w14:textId="462B885C" w:rsidR="0095573E" w:rsidRDefault="002D42DC">
            <w:r>
              <w:t>BOAR</w:t>
            </w:r>
            <w:r w:rsidR="00644356">
              <w:t>D</w:t>
            </w:r>
          </w:p>
          <w:p w14:paraId="04FAB061" w14:textId="77777777" w:rsidR="00A664A3" w:rsidRDefault="00A664A3"/>
          <w:p w14:paraId="4A29AC21" w14:textId="77777777" w:rsidR="00A664A3" w:rsidRDefault="00A664A3"/>
          <w:p w14:paraId="670386FD" w14:textId="77777777" w:rsidR="00A664A3" w:rsidRDefault="00A664A3"/>
          <w:p w14:paraId="662B0217" w14:textId="2A6FCA54" w:rsidR="0095573E" w:rsidRDefault="0095573E" w:rsidP="000A6AF7"/>
        </w:tc>
        <w:tc>
          <w:tcPr>
            <w:tcW w:w="1991" w:type="dxa"/>
            <w:gridSpan w:val="2"/>
          </w:tcPr>
          <w:p w14:paraId="649DC1B9" w14:textId="52FC00AC" w:rsidR="00334A62" w:rsidRDefault="00334A62">
            <w:r>
              <w:t>ACTION</w:t>
            </w:r>
          </w:p>
          <w:p w14:paraId="74E36EEF" w14:textId="77777777" w:rsidR="00334A62" w:rsidRDefault="00334A62"/>
          <w:p w14:paraId="16435B9B" w14:textId="77777777" w:rsidR="00060AF4" w:rsidRDefault="00060AF4"/>
          <w:p w14:paraId="65ED82E6" w14:textId="77777777" w:rsidR="00060AF4" w:rsidRDefault="00060AF4"/>
          <w:p w14:paraId="06FC2726" w14:textId="77777777" w:rsidR="005F1443" w:rsidRDefault="005F1443"/>
          <w:p w14:paraId="6C474C45" w14:textId="77777777" w:rsidR="005F1443" w:rsidRDefault="005F1443"/>
          <w:p w14:paraId="2EAED66E" w14:textId="1276A291" w:rsidR="00A664A3" w:rsidRDefault="002D42DC">
            <w:r>
              <w:t>INFORMATION</w:t>
            </w:r>
          </w:p>
          <w:p w14:paraId="35002DC8" w14:textId="77777777" w:rsidR="00A664A3" w:rsidRDefault="00A664A3"/>
          <w:p w14:paraId="2755EBE1" w14:textId="77777777" w:rsidR="00A664A3" w:rsidRDefault="00A664A3"/>
          <w:p w14:paraId="0632A15C" w14:textId="77777777" w:rsidR="00A664A3" w:rsidRDefault="00A664A3"/>
          <w:p w14:paraId="1AFC1D46" w14:textId="2480EDDA" w:rsidR="00A664A3" w:rsidRDefault="00A664A3"/>
        </w:tc>
      </w:tr>
      <w:tr w:rsidR="008B0A34" w14:paraId="7FEFE5D0" w14:textId="77777777" w:rsidTr="00A15624">
        <w:tc>
          <w:tcPr>
            <w:tcW w:w="15388" w:type="dxa"/>
            <w:gridSpan w:val="13"/>
          </w:tcPr>
          <w:p w14:paraId="10EA19E3" w14:textId="6E3BBABF" w:rsidR="008B0A34" w:rsidRDefault="008B0A34" w:rsidP="008B0A34">
            <w:r w:rsidRPr="002B0A97">
              <w:rPr>
                <w:rFonts w:ascii="Arial" w:eastAsia="Calibri" w:hAnsi="Arial" w:cs="Arial"/>
                <w:b/>
                <w:bCs/>
                <w:noProof/>
                <w:color w:val="0072C6"/>
                <w:lang w:eastAsia="en-GB"/>
              </w:rPr>
              <w:t>Performance</w:t>
            </w:r>
          </w:p>
        </w:tc>
      </w:tr>
      <w:tr w:rsidR="000F2B01" w14:paraId="3827AA6D" w14:textId="77777777" w:rsidTr="00A15624">
        <w:tc>
          <w:tcPr>
            <w:tcW w:w="1467" w:type="dxa"/>
          </w:tcPr>
          <w:p w14:paraId="5568979E" w14:textId="103103E1" w:rsidR="000F2B01" w:rsidRDefault="000F2B01" w:rsidP="008B0A34">
            <w:pPr>
              <w:rPr>
                <w:b/>
                <w:bCs/>
                <w:sz w:val="20"/>
                <w:szCs w:val="20"/>
              </w:rPr>
            </w:pPr>
            <w:r>
              <w:rPr>
                <w:b/>
                <w:bCs/>
                <w:sz w:val="20"/>
                <w:szCs w:val="20"/>
              </w:rPr>
              <w:t>i)</w:t>
            </w:r>
          </w:p>
        </w:tc>
        <w:tc>
          <w:tcPr>
            <w:tcW w:w="10470" w:type="dxa"/>
            <w:gridSpan w:val="9"/>
          </w:tcPr>
          <w:p w14:paraId="288D7E30" w14:textId="7FC556E6" w:rsidR="00380525" w:rsidRDefault="006B5A30" w:rsidP="00AC60E9">
            <w:pPr>
              <w:pStyle w:val="ListParagraph"/>
              <w:numPr>
                <w:ilvl w:val="0"/>
                <w:numId w:val="24"/>
              </w:numPr>
              <w:ind w:left="242" w:hanging="242"/>
            </w:pPr>
            <w:r>
              <w:t xml:space="preserve">The Committee </w:t>
            </w:r>
            <w:r w:rsidR="00072CAD">
              <w:t xml:space="preserve">noted </w:t>
            </w:r>
            <w:r w:rsidR="00532118">
              <w:t xml:space="preserve">the Trust </w:t>
            </w:r>
            <w:r w:rsidR="00893546">
              <w:t>is seeing an increase in Covid numbers from 75 to currently 134. In comparison influenza remains low reducing from 15</w:t>
            </w:r>
            <w:r w:rsidR="00786852">
              <w:t xml:space="preserve"> on 8 February</w:t>
            </w:r>
            <w:r w:rsidR="00893546">
              <w:t xml:space="preserve"> to one as on </w:t>
            </w:r>
            <w:r w:rsidR="00786852">
              <w:t>20 March</w:t>
            </w:r>
            <w:r w:rsidR="00893546">
              <w:t xml:space="preserve">. </w:t>
            </w:r>
            <w:r w:rsidR="00011207" w:rsidRPr="00166882">
              <w:t>The Committee noted the focus of the national UEC Recovery Plan in 5 key areas which are all embedded within the Acute Flow programme</w:t>
            </w:r>
            <w:r w:rsidR="00893546">
              <w:t>, and requested for assurance</w:t>
            </w:r>
            <w:r w:rsidR="00B97F48">
              <w:t>,</w:t>
            </w:r>
            <w:r w:rsidR="00893546">
              <w:t xml:space="preserve"> visibility of </w:t>
            </w:r>
            <w:r w:rsidR="00380525">
              <w:t>key deliverable milestones with benefits for patients for both Acute and Elective programmes</w:t>
            </w:r>
            <w:r w:rsidR="003E599A">
              <w:t xml:space="preserve"> (</w:t>
            </w:r>
            <w:r w:rsidR="009D69ED">
              <w:t>i.e.,</w:t>
            </w:r>
            <w:r w:rsidR="003E599A">
              <w:t xml:space="preserve"> plans beyond current external help)</w:t>
            </w:r>
            <w:r w:rsidR="00380525">
              <w:t xml:space="preserve">. </w:t>
            </w:r>
            <w:r w:rsidR="00060AF4">
              <w:t>The Committee also noted the success of the CIPHER ED cohorting service, with its positive impact in both York and Scarborough on reducing lost hours and ambulance handover times. The Committee is assured funding solutions are being sought to continue the scheme potentially as part of the system discharge funding allocation.</w:t>
            </w:r>
          </w:p>
        </w:tc>
        <w:tc>
          <w:tcPr>
            <w:tcW w:w="1460" w:type="dxa"/>
          </w:tcPr>
          <w:p w14:paraId="572EBF98" w14:textId="7871464C" w:rsidR="000F2B01" w:rsidRDefault="0056090A" w:rsidP="008B0A34">
            <w:r>
              <w:t>BOARD</w:t>
            </w:r>
          </w:p>
        </w:tc>
        <w:tc>
          <w:tcPr>
            <w:tcW w:w="1991" w:type="dxa"/>
            <w:gridSpan w:val="2"/>
          </w:tcPr>
          <w:p w14:paraId="377900FD" w14:textId="0A9137BF" w:rsidR="000F2B01" w:rsidRDefault="0056090A" w:rsidP="008B0A34">
            <w:r>
              <w:t>INFORMATION</w:t>
            </w:r>
          </w:p>
        </w:tc>
      </w:tr>
      <w:tr w:rsidR="00CC4B60" w14:paraId="13136770" w14:textId="77777777" w:rsidTr="00A15624">
        <w:tc>
          <w:tcPr>
            <w:tcW w:w="1467" w:type="dxa"/>
          </w:tcPr>
          <w:p w14:paraId="6919D6A0" w14:textId="7F50B03C" w:rsidR="008B0A34" w:rsidRDefault="008B0A34" w:rsidP="008B0A34">
            <w:pPr>
              <w:rPr>
                <w:b/>
                <w:bCs/>
                <w:sz w:val="20"/>
                <w:szCs w:val="20"/>
              </w:rPr>
            </w:pPr>
            <w:r>
              <w:rPr>
                <w:b/>
                <w:bCs/>
                <w:sz w:val="20"/>
                <w:szCs w:val="20"/>
              </w:rPr>
              <w:t>ii)</w:t>
            </w:r>
          </w:p>
        </w:tc>
        <w:tc>
          <w:tcPr>
            <w:tcW w:w="10470" w:type="dxa"/>
            <w:gridSpan w:val="9"/>
          </w:tcPr>
          <w:p w14:paraId="36D542F1" w14:textId="12491418" w:rsidR="00872537" w:rsidRPr="00BD03B5" w:rsidRDefault="00872537" w:rsidP="00AC60E9">
            <w:pPr>
              <w:pStyle w:val="NormalWeb"/>
              <w:numPr>
                <w:ilvl w:val="0"/>
                <w:numId w:val="24"/>
              </w:numPr>
              <w:spacing w:before="0" w:beforeAutospacing="0" w:after="0" w:afterAutospacing="0"/>
              <w:ind w:left="259" w:hanging="259"/>
              <w:rPr>
                <w:rFonts w:asciiTheme="minorHAnsi" w:eastAsiaTheme="minorHAnsi" w:hAnsiTheme="minorHAnsi" w:cstheme="minorBidi"/>
                <w:b/>
                <w:bCs/>
                <w:sz w:val="22"/>
                <w:szCs w:val="22"/>
                <w:lang w:eastAsia="en-US"/>
              </w:rPr>
            </w:pPr>
            <w:r w:rsidRPr="00AC60E9">
              <w:rPr>
                <w:rFonts w:asciiTheme="minorHAnsi" w:eastAsiaTheme="minorHAnsi" w:hAnsiTheme="minorHAnsi" w:cstheme="minorBidi"/>
                <w:sz w:val="22"/>
                <w:szCs w:val="22"/>
                <w:lang w:eastAsia="en-US"/>
              </w:rPr>
              <w:t>For Elective Backlogs</w:t>
            </w:r>
            <w:r w:rsidR="00DF52D0">
              <w:rPr>
                <w:rFonts w:asciiTheme="minorHAnsi" w:eastAsiaTheme="minorHAnsi" w:hAnsiTheme="minorHAnsi" w:cstheme="minorBidi"/>
                <w:sz w:val="22"/>
                <w:szCs w:val="22"/>
                <w:lang w:eastAsia="en-US"/>
              </w:rPr>
              <w:t xml:space="preserve">: </w:t>
            </w:r>
            <w:r w:rsidRPr="00AC60E9">
              <w:rPr>
                <w:rFonts w:asciiTheme="minorHAnsi" w:eastAsiaTheme="minorHAnsi" w:hAnsiTheme="minorHAnsi" w:cstheme="minorBidi"/>
                <w:sz w:val="22"/>
                <w:szCs w:val="22"/>
                <w:lang w:eastAsia="en-US"/>
              </w:rPr>
              <w:t xml:space="preserve">The RTT position </w:t>
            </w:r>
            <w:r w:rsidR="00F73C66" w:rsidRPr="00AC60E9">
              <w:rPr>
                <w:rFonts w:asciiTheme="minorHAnsi" w:eastAsiaTheme="minorHAnsi" w:hAnsiTheme="minorHAnsi" w:cstheme="minorBidi"/>
                <w:sz w:val="22"/>
                <w:szCs w:val="22"/>
                <w:lang w:eastAsia="en-US"/>
              </w:rPr>
              <w:t xml:space="preserve">the Trust </w:t>
            </w:r>
            <w:r w:rsidRPr="00AC60E9">
              <w:rPr>
                <w:rFonts w:asciiTheme="minorHAnsi" w:eastAsiaTheme="minorHAnsi" w:hAnsiTheme="minorHAnsi" w:cstheme="minorBidi"/>
                <w:sz w:val="22"/>
                <w:szCs w:val="22"/>
                <w:lang w:eastAsia="en-US"/>
              </w:rPr>
              <w:t xml:space="preserve">continues to </w:t>
            </w:r>
            <w:r w:rsidR="00F73C66" w:rsidRPr="00AC60E9">
              <w:rPr>
                <w:rFonts w:asciiTheme="minorHAnsi" w:eastAsiaTheme="minorHAnsi" w:hAnsiTheme="minorHAnsi" w:cstheme="minorBidi"/>
                <w:sz w:val="22"/>
                <w:szCs w:val="22"/>
                <w:lang w:eastAsia="en-US"/>
              </w:rPr>
              <w:t>declare zero on</w:t>
            </w:r>
            <w:r w:rsidRPr="00AC60E9">
              <w:rPr>
                <w:rFonts w:asciiTheme="minorHAnsi" w:eastAsiaTheme="minorHAnsi" w:hAnsiTheme="minorHAnsi" w:cstheme="minorBidi"/>
                <w:sz w:val="22"/>
                <w:szCs w:val="22"/>
                <w:lang w:eastAsia="en-US"/>
              </w:rPr>
              <w:t xml:space="preserve"> 104 week waits</w:t>
            </w:r>
            <w:r w:rsidR="00B97F48">
              <w:rPr>
                <w:rFonts w:asciiTheme="minorHAnsi" w:eastAsiaTheme="minorHAnsi" w:hAnsiTheme="minorHAnsi" w:cstheme="minorBidi"/>
                <w:sz w:val="22"/>
                <w:szCs w:val="22"/>
                <w:lang w:eastAsia="en-US"/>
              </w:rPr>
              <w:t>.</w:t>
            </w:r>
            <w:r w:rsidRPr="00AC60E9">
              <w:rPr>
                <w:rFonts w:asciiTheme="minorHAnsi" w:eastAsiaTheme="minorHAnsi" w:hAnsiTheme="minorHAnsi" w:cstheme="minorBidi"/>
                <w:sz w:val="22"/>
                <w:szCs w:val="22"/>
                <w:lang w:eastAsia="en-US"/>
              </w:rPr>
              <w:t xml:space="preserve"> </w:t>
            </w:r>
            <w:r w:rsidR="00AC60E9" w:rsidRPr="00AC60E9">
              <w:rPr>
                <w:rFonts w:asciiTheme="minorHAnsi" w:eastAsiaTheme="minorHAnsi" w:hAnsiTheme="minorHAnsi" w:cstheme="minorBidi"/>
                <w:sz w:val="22"/>
                <w:szCs w:val="22"/>
                <w:lang w:eastAsia="en-US"/>
              </w:rPr>
              <w:t xml:space="preserve">The </w:t>
            </w:r>
            <w:r w:rsidRPr="00AC60E9">
              <w:rPr>
                <w:rFonts w:asciiTheme="minorHAnsi" w:eastAsiaTheme="minorHAnsi" w:hAnsiTheme="minorHAnsi" w:cstheme="minorBidi"/>
                <w:sz w:val="22"/>
                <w:szCs w:val="22"/>
                <w:lang w:eastAsia="en-US"/>
              </w:rPr>
              <w:t>78 week</w:t>
            </w:r>
            <w:r w:rsidR="00AC60E9" w:rsidRPr="00AC60E9">
              <w:rPr>
                <w:rFonts w:asciiTheme="minorHAnsi" w:eastAsiaTheme="minorHAnsi" w:hAnsiTheme="minorHAnsi" w:cstheme="minorBidi"/>
                <w:sz w:val="22"/>
                <w:szCs w:val="22"/>
                <w:lang w:eastAsia="en-US"/>
              </w:rPr>
              <w:t xml:space="preserve"> wait</w:t>
            </w:r>
            <w:r w:rsidRPr="00AC60E9">
              <w:rPr>
                <w:rFonts w:asciiTheme="minorHAnsi" w:eastAsiaTheme="minorHAnsi" w:hAnsiTheme="minorHAnsi" w:cstheme="minorBidi"/>
                <w:sz w:val="22"/>
                <w:szCs w:val="22"/>
                <w:lang w:eastAsia="en-US"/>
              </w:rPr>
              <w:t xml:space="preserve"> position</w:t>
            </w:r>
            <w:r w:rsidR="00AC60E9" w:rsidRPr="00AC60E9">
              <w:rPr>
                <w:rFonts w:asciiTheme="minorHAnsi" w:eastAsiaTheme="minorHAnsi" w:hAnsiTheme="minorHAnsi" w:cstheme="minorBidi"/>
                <w:sz w:val="22"/>
                <w:szCs w:val="22"/>
                <w:lang w:eastAsia="en-US"/>
              </w:rPr>
              <w:t xml:space="preserve"> had a planned</w:t>
            </w:r>
            <w:r w:rsidRPr="00AC60E9">
              <w:rPr>
                <w:rFonts w:asciiTheme="minorHAnsi" w:eastAsiaTheme="minorHAnsi" w:hAnsiTheme="minorHAnsi" w:cstheme="minorBidi"/>
                <w:sz w:val="22"/>
                <w:szCs w:val="22"/>
                <w:lang w:eastAsia="en-US"/>
              </w:rPr>
              <w:t xml:space="preserve"> trajectory </w:t>
            </w:r>
            <w:r w:rsidR="00AC60E9" w:rsidRPr="00AC60E9">
              <w:rPr>
                <w:rFonts w:asciiTheme="minorHAnsi" w:eastAsiaTheme="minorHAnsi" w:hAnsiTheme="minorHAnsi" w:cstheme="minorBidi"/>
                <w:sz w:val="22"/>
                <w:szCs w:val="22"/>
                <w:lang w:eastAsia="en-US"/>
              </w:rPr>
              <w:t xml:space="preserve">of </w:t>
            </w:r>
            <w:r w:rsidRPr="00AC60E9">
              <w:rPr>
                <w:rFonts w:asciiTheme="minorHAnsi" w:eastAsiaTheme="minorHAnsi" w:hAnsiTheme="minorHAnsi" w:cstheme="minorBidi"/>
                <w:sz w:val="22"/>
                <w:szCs w:val="22"/>
                <w:lang w:eastAsia="en-US"/>
              </w:rPr>
              <w:t xml:space="preserve">397 </w:t>
            </w:r>
            <w:r w:rsidR="00AC60E9" w:rsidRPr="00AC60E9">
              <w:rPr>
                <w:rFonts w:asciiTheme="minorHAnsi" w:eastAsiaTheme="minorHAnsi" w:hAnsiTheme="minorHAnsi" w:cstheme="minorBidi"/>
                <w:sz w:val="22"/>
                <w:szCs w:val="22"/>
                <w:lang w:eastAsia="en-US"/>
              </w:rPr>
              <w:t xml:space="preserve">that was re forecast </w:t>
            </w:r>
            <w:r w:rsidRPr="00AC60E9">
              <w:rPr>
                <w:rFonts w:asciiTheme="minorHAnsi" w:eastAsiaTheme="minorHAnsi" w:hAnsiTheme="minorHAnsi" w:cstheme="minorBidi"/>
                <w:sz w:val="22"/>
                <w:szCs w:val="22"/>
                <w:lang w:eastAsia="en-US"/>
              </w:rPr>
              <w:t>to 243</w:t>
            </w:r>
            <w:r w:rsidR="00AC60E9" w:rsidRPr="00AC60E9">
              <w:rPr>
                <w:rFonts w:asciiTheme="minorHAnsi" w:eastAsiaTheme="minorHAnsi" w:hAnsiTheme="minorHAnsi" w:cstheme="minorBidi"/>
                <w:sz w:val="22"/>
                <w:szCs w:val="22"/>
                <w:lang w:eastAsia="en-US"/>
              </w:rPr>
              <w:t xml:space="preserve"> and is</w:t>
            </w:r>
            <w:r w:rsidRPr="00AC60E9">
              <w:rPr>
                <w:rFonts w:asciiTheme="minorHAnsi" w:eastAsiaTheme="minorHAnsi" w:hAnsiTheme="minorHAnsi" w:cstheme="minorBidi"/>
                <w:sz w:val="22"/>
                <w:szCs w:val="22"/>
                <w:lang w:eastAsia="en-US"/>
              </w:rPr>
              <w:t xml:space="preserve"> now reduced to 198. </w:t>
            </w:r>
            <w:r w:rsidR="00BD03B5">
              <w:rPr>
                <w:rFonts w:asciiTheme="minorHAnsi" w:eastAsiaTheme="minorHAnsi" w:hAnsiTheme="minorHAnsi" w:cstheme="minorBidi"/>
                <w:sz w:val="22"/>
                <w:szCs w:val="22"/>
                <w:lang w:eastAsia="en-US"/>
              </w:rPr>
              <w:t xml:space="preserve">The overall total RTT waiting list position has deteriorated rising to over 50k – a sustainable model is 26k. The DPF </w:t>
            </w:r>
            <w:r w:rsidR="00BD03B5">
              <w:rPr>
                <w:rFonts w:asciiTheme="minorHAnsi" w:eastAsiaTheme="minorHAnsi" w:hAnsiTheme="minorHAnsi" w:cstheme="minorBidi"/>
                <w:sz w:val="22"/>
                <w:szCs w:val="22"/>
                <w:lang w:eastAsia="en-US"/>
              </w:rPr>
              <w:lastRenderedPageBreak/>
              <w:t xml:space="preserve">committee has raised this issue at Board, it also agreed to raise to Quality Committee. </w:t>
            </w:r>
            <w:r w:rsidR="00BD03B5" w:rsidRPr="00BD03B5">
              <w:rPr>
                <w:rFonts w:asciiTheme="minorHAnsi" w:eastAsiaTheme="minorHAnsi" w:hAnsiTheme="minorHAnsi" w:cstheme="minorBidi"/>
                <w:b/>
                <w:bCs/>
                <w:sz w:val="22"/>
                <w:szCs w:val="22"/>
                <w:lang w:eastAsia="en-US"/>
              </w:rPr>
              <w:t>Action: Quality Committee to review current and forecast RTT position re patient risk</w:t>
            </w:r>
          </w:p>
          <w:p w14:paraId="1F4BAD51" w14:textId="071817A3" w:rsidR="00967AAC" w:rsidRDefault="00872537" w:rsidP="00786852">
            <w:pPr>
              <w:pStyle w:val="NormalWeb"/>
              <w:numPr>
                <w:ilvl w:val="0"/>
                <w:numId w:val="24"/>
              </w:numPr>
              <w:spacing w:before="0" w:beforeAutospacing="0" w:after="0" w:afterAutospacing="0"/>
              <w:ind w:left="259" w:hanging="259"/>
            </w:pPr>
            <w:r w:rsidRPr="00AC60E9">
              <w:rPr>
                <w:rFonts w:asciiTheme="minorHAnsi" w:eastAsiaTheme="minorHAnsi" w:hAnsiTheme="minorHAnsi" w:cstheme="minorBidi"/>
                <w:sz w:val="22"/>
                <w:szCs w:val="22"/>
                <w:lang w:eastAsia="en-US"/>
              </w:rPr>
              <w:t xml:space="preserve">Cancer position </w:t>
            </w:r>
            <w:r w:rsidR="00DF52D0">
              <w:rPr>
                <w:rFonts w:asciiTheme="minorHAnsi" w:eastAsiaTheme="minorHAnsi" w:hAnsiTheme="minorHAnsi" w:cstheme="minorBidi"/>
                <w:sz w:val="22"/>
                <w:szCs w:val="22"/>
                <w:lang w:eastAsia="en-US"/>
              </w:rPr>
              <w:t>–</w:t>
            </w:r>
            <w:r w:rsidRPr="00AC60E9">
              <w:rPr>
                <w:rFonts w:asciiTheme="minorHAnsi" w:eastAsiaTheme="minorHAnsi" w:hAnsiTheme="minorHAnsi" w:cstheme="minorBidi"/>
                <w:sz w:val="22"/>
                <w:szCs w:val="22"/>
                <w:lang w:eastAsia="en-US"/>
              </w:rPr>
              <w:t xml:space="preserve"> </w:t>
            </w:r>
            <w:r w:rsidR="00DF52D0">
              <w:rPr>
                <w:rFonts w:asciiTheme="minorHAnsi" w:eastAsiaTheme="minorHAnsi" w:hAnsiTheme="minorHAnsi" w:cstheme="minorBidi"/>
                <w:sz w:val="22"/>
                <w:szCs w:val="22"/>
                <w:lang w:eastAsia="en-US"/>
              </w:rPr>
              <w:t>remains under the</w:t>
            </w:r>
            <w:r w:rsidRPr="00AC60E9">
              <w:rPr>
                <w:rFonts w:asciiTheme="minorHAnsi" w:eastAsiaTheme="minorHAnsi" w:hAnsiTheme="minorHAnsi" w:cstheme="minorBidi"/>
                <w:sz w:val="22"/>
                <w:szCs w:val="22"/>
                <w:lang w:eastAsia="en-US"/>
              </w:rPr>
              <w:t xml:space="preserve"> Tier 1 regime</w:t>
            </w:r>
            <w:r w:rsidR="00DF52D0">
              <w:rPr>
                <w:rFonts w:asciiTheme="minorHAnsi" w:eastAsiaTheme="minorHAnsi" w:hAnsiTheme="minorHAnsi" w:cstheme="minorBidi"/>
                <w:sz w:val="22"/>
                <w:szCs w:val="22"/>
                <w:lang w:eastAsia="en-US"/>
              </w:rPr>
              <w:t xml:space="preserve"> for the Cancer 62 backlog</w:t>
            </w:r>
            <w:r w:rsidRPr="00AC60E9">
              <w:rPr>
                <w:rFonts w:asciiTheme="minorHAnsi" w:eastAsiaTheme="minorHAnsi" w:hAnsiTheme="minorHAnsi" w:cstheme="minorBidi"/>
                <w:sz w:val="22"/>
                <w:szCs w:val="22"/>
                <w:lang w:eastAsia="en-US"/>
              </w:rPr>
              <w:t>, remain off trajectory, at time of writing 219, now a reduction to 191 at Committee, 8.5% of patients are over 62 days. Current performance</w:t>
            </w:r>
            <w:r w:rsidR="00786852">
              <w:rPr>
                <w:rFonts w:asciiTheme="minorHAnsi" w:eastAsiaTheme="minorHAnsi" w:hAnsiTheme="minorHAnsi" w:cstheme="minorBidi"/>
                <w:sz w:val="22"/>
                <w:szCs w:val="22"/>
                <w:lang w:eastAsia="en-US"/>
              </w:rPr>
              <w:t xml:space="preserve"> whilst still off target is the</w:t>
            </w:r>
            <w:r w:rsidRPr="00AC60E9">
              <w:rPr>
                <w:rFonts w:asciiTheme="minorHAnsi" w:eastAsiaTheme="minorHAnsi" w:hAnsiTheme="minorHAnsi" w:cstheme="minorBidi"/>
                <w:sz w:val="22"/>
                <w:szCs w:val="22"/>
                <w:lang w:eastAsia="en-US"/>
              </w:rPr>
              <w:t xml:space="preserve"> best recorded since Feb 21.</w:t>
            </w:r>
          </w:p>
        </w:tc>
        <w:tc>
          <w:tcPr>
            <w:tcW w:w="1460" w:type="dxa"/>
          </w:tcPr>
          <w:p w14:paraId="3E197385" w14:textId="77777777" w:rsidR="008B0A34" w:rsidRDefault="008B0A34" w:rsidP="008B0A34">
            <w:r>
              <w:lastRenderedPageBreak/>
              <w:t>BOARD</w:t>
            </w:r>
          </w:p>
          <w:p w14:paraId="29438919" w14:textId="77777777" w:rsidR="00BD03B5" w:rsidRDefault="00BD03B5" w:rsidP="008B0A34"/>
          <w:p w14:paraId="5CDF5BD7" w14:textId="77777777" w:rsidR="00BD03B5" w:rsidRDefault="00BD03B5" w:rsidP="008B0A34"/>
          <w:p w14:paraId="641099A6" w14:textId="77777777" w:rsidR="00BD03B5" w:rsidRDefault="00BD03B5" w:rsidP="008B0A34"/>
          <w:p w14:paraId="3544B333" w14:textId="0B6A6C6B" w:rsidR="00BD03B5" w:rsidRDefault="00AD4ADB" w:rsidP="008B0A34">
            <w:r>
              <w:t>QUALITY &amp; SAFETY COMMITTEE</w:t>
            </w:r>
          </w:p>
        </w:tc>
        <w:tc>
          <w:tcPr>
            <w:tcW w:w="1991" w:type="dxa"/>
            <w:gridSpan w:val="2"/>
          </w:tcPr>
          <w:p w14:paraId="165A9987" w14:textId="77777777" w:rsidR="008B0A34" w:rsidRDefault="002116A1" w:rsidP="008B0A34">
            <w:r>
              <w:lastRenderedPageBreak/>
              <w:t>INFORMATION</w:t>
            </w:r>
          </w:p>
          <w:p w14:paraId="7284DFD6" w14:textId="77777777" w:rsidR="00BD03B5" w:rsidRDefault="00BD03B5" w:rsidP="008B0A34"/>
          <w:p w14:paraId="0DAAC97F" w14:textId="77777777" w:rsidR="00BD03B5" w:rsidRDefault="00BD03B5" w:rsidP="008B0A34"/>
          <w:p w14:paraId="75150B41" w14:textId="77777777" w:rsidR="00BD03B5" w:rsidRDefault="00BD03B5" w:rsidP="008B0A34"/>
          <w:p w14:paraId="279B7CE7" w14:textId="5748DE40" w:rsidR="00BD03B5" w:rsidRDefault="00BD03B5" w:rsidP="008B0A34">
            <w:r>
              <w:t>ACTION</w:t>
            </w:r>
          </w:p>
        </w:tc>
      </w:tr>
      <w:tr w:rsidR="008B0A34" w14:paraId="418DF277" w14:textId="77777777" w:rsidTr="00A15624">
        <w:tc>
          <w:tcPr>
            <w:tcW w:w="15388" w:type="dxa"/>
            <w:gridSpan w:val="13"/>
          </w:tcPr>
          <w:p w14:paraId="126B8304" w14:textId="6B8ABC48" w:rsidR="008B0A34" w:rsidRDefault="008B0A34" w:rsidP="008B0A34">
            <w:r w:rsidRPr="00DA29F0">
              <w:rPr>
                <w:rFonts w:ascii="Arial" w:eastAsia="Calibri" w:hAnsi="Arial" w:cs="Arial"/>
                <w:b/>
                <w:bCs/>
                <w:noProof/>
                <w:color w:val="0072C6"/>
                <w:lang w:eastAsia="en-GB"/>
              </w:rPr>
              <w:lastRenderedPageBreak/>
              <w:t>Finance</w:t>
            </w:r>
          </w:p>
        </w:tc>
      </w:tr>
      <w:tr w:rsidR="00435608" w14:paraId="371A03F0" w14:textId="77777777" w:rsidTr="00A15624">
        <w:tc>
          <w:tcPr>
            <w:tcW w:w="1467" w:type="dxa"/>
          </w:tcPr>
          <w:p w14:paraId="35BA8F57" w14:textId="09AAAC71" w:rsidR="00435608" w:rsidRDefault="00435608" w:rsidP="008B0A34">
            <w:pPr>
              <w:rPr>
                <w:b/>
                <w:bCs/>
                <w:sz w:val="20"/>
                <w:szCs w:val="20"/>
              </w:rPr>
            </w:pPr>
            <w:r>
              <w:rPr>
                <w:b/>
                <w:bCs/>
                <w:sz w:val="20"/>
                <w:szCs w:val="20"/>
              </w:rPr>
              <w:t>i)</w:t>
            </w:r>
          </w:p>
        </w:tc>
        <w:tc>
          <w:tcPr>
            <w:tcW w:w="10470" w:type="dxa"/>
            <w:gridSpan w:val="9"/>
          </w:tcPr>
          <w:p w14:paraId="4D249549" w14:textId="4E5BD46D" w:rsidR="00435608" w:rsidRDefault="00435608" w:rsidP="001E3782">
            <w:pPr>
              <w:pStyle w:val="NormalWeb"/>
              <w:numPr>
                <w:ilvl w:val="0"/>
                <w:numId w:val="24"/>
              </w:numPr>
              <w:spacing w:before="0" w:beforeAutospacing="0" w:after="0" w:afterAutospacing="0"/>
              <w:ind w:left="259"/>
              <w:rPr>
                <w:rFonts w:asciiTheme="minorHAnsi" w:eastAsiaTheme="minorHAnsi" w:hAnsiTheme="minorHAnsi" w:cstheme="minorBidi"/>
                <w:sz w:val="22"/>
                <w:szCs w:val="22"/>
                <w:lang w:eastAsia="en-US"/>
              </w:rPr>
            </w:pPr>
            <w:r w:rsidRPr="001E3782">
              <w:rPr>
                <w:rFonts w:asciiTheme="minorHAnsi" w:eastAsiaTheme="minorHAnsi" w:hAnsiTheme="minorHAnsi" w:cstheme="minorBidi"/>
                <w:sz w:val="22"/>
                <w:szCs w:val="22"/>
                <w:lang w:eastAsia="en-US"/>
              </w:rPr>
              <w:t>The Committee noted the Trust’s Income and Expenditure (I&amp;E) position with an adjusted deficit of £</w:t>
            </w:r>
            <w:r w:rsidR="005D6BBF">
              <w:rPr>
                <w:rFonts w:asciiTheme="minorHAnsi" w:eastAsiaTheme="minorHAnsi" w:hAnsiTheme="minorHAnsi" w:cstheme="minorBidi"/>
                <w:sz w:val="22"/>
                <w:szCs w:val="22"/>
                <w:lang w:eastAsia="en-US"/>
              </w:rPr>
              <w:t>2.3</w:t>
            </w:r>
            <w:r w:rsidRPr="001E3782">
              <w:rPr>
                <w:rFonts w:asciiTheme="minorHAnsi" w:eastAsiaTheme="minorHAnsi" w:hAnsiTheme="minorHAnsi" w:cstheme="minorBidi"/>
                <w:sz w:val="22"/>
                <w:szCs w:val="22"/>
                <w:lang w:eastAsia="en-US"/>
              </w:rPr>
              <w:t>M against a planned deficit of £0.</w:t>
            </w:r>
            <w:r w:rsidR="005D6BBF">
              <w:rPr>
                <w:rFonts w:asciiTheme="minorHAnsi" w:eastAsiaTheme="minorHAnsi" w:hAnsiTheme="minorHAnsi" w:cstheme="minorBidi"/>
                <w:sz w:val="22"/>
                <w:szCs w:val="22"/>
                <w:lang w:eastAsia="en-US"/>
              </w:rPr>
              <w:t>1</w:t>
            </w:r>
            <w:r w:rsidRPr="001E3782">
              <w:rPr>
                <w:rFonts w:asciiTheme="minorHAnsi" w:eastAsiaTheme="minorHAnsi" w:hAnsiTheme="minorHAnsi" w:cstheme="minorBidi"/>
                <w:sz w:val="22"/>
                <w:szCs w:val="22"/>
                <w:lang w:eastAsia="en-US"/>
              </w:rPr>
              <w:t>M i.e., £</w:t>
            </w:r>
            <w:r w:rsidR="005D6BBF">
              <w:rPr>
                <w:rFonts w:asciiTheme="minorHAnsi" w:eastAsiaTheme="minorHAnsi" w:hAnsiTheme="minorHAnsi" w:cstheme="minorBidi"/>
                <w:sz w:val="22"/>
                <w:szCs w:val="22"/>
                <w:lang w:eastAsia="en-US"/>
              </w:rPr>
              <w:t>2.2</w:t>
            </w:r>
            <w:r w:rsidRPr="001E3782">
              <w:rPr>
                <w:rFonts w:asciiTheme="minorHAnsi" w:eastAsiaTheme="minorHAnsi" w:hAnsiTheme="minorHAnsi" w:cstheme="minorBidi"/>
                <w:sz w:val="22"/>
                <w:szCs w:val="22"/>
                <w:lang w:eastAsia="en-US"/>
              </w:rPr>
              <w:t xml:space="preserve">m adversely adrift of plan. </w:t>
            </w:r>
            <w:r w:rsidR="00515868" w:rsidRPr="001E3782">
              <w:rPr>
                <w:rFonts w:asciiTheme="minorHAnsi" w:eastAsiaTheme="minorHAnsi" w:hAnsiTheme="minorHAnsi" w:cstheme="minorBidi"/>
                <w:sz w:val="22"/>
                <w:szCs w:val="22"/>
                <w:lang w:eastAsia="en-US"/>
              </w:rPr>
              <w:t xml:space="preserve">The Committee noted the Trust is </w:t>
            </w:r>
            <w:r w:rsidR="005D6BBF">
              <w:rPr>
                <w:rFonts w:asciiTheme="minorHAnsi" w:eastAsiaTheme="minorHAnsi" w:hAnsiTheme="minorHAnsi" w:cstheme="minorBidi"/>
                <w:sz w:val="22"/>
                <w:szCs w:val="22"/>
                <w:lang w:eastAsia="en-US"/>
              </w:rPr>
              <w:t xml:space="preserve">still </w:t>
            </w:r>
            <w:r w:rsidR="00515868" w:rsidRPr="001E3782">
              <w:rPr>
                <w:rFonts w:asciiTheme="minorHAnsi" w:eastAsiaTheme="minorHAnsi" w:hAnsiTheme="minorHAnsi" w:cstheme="minorBidi"/>
                <w:sz w:val="22"/>
                <w:szCs w:val="22"/>
                <w:lang w:eastAsia="en-US"/>
              </w:rPr>
              <w:t>forecasting to balance at year end.</w:t>
            </w:r>
          </w:p>
          <w:p w14:paraId="33F13B28" w14:textId="34275DB9" w:rsidR="00A15624" w:rsidRPr="001E3782" w:rsidRDefault="00A15624" w:rsidP="001E3782">
            <w:pPr>
              <w:pStyle w:val="NormalWeb"/>
              <w:numPr>
                <w:ilvl w:val="0"/>
                <w:numId w:val="24"/>
              </w:numPr>
              <w:spacing w:before="0" w:beforeAutospacing="0" w:after="0" w:afterAutospacing="0"/>
              <w:ind w:left="259"/>
              <w:rPr>
                <w:rFonts w:asciiTheme="minorHAnsi" w:eastAsiaTheme="minorHAnsi" w:hAnsiTheme="minorHAnsi" w:cstheme="minorBidi"/>
                <w:sz w:val="22"/>
                <w:szCs w:val="22"/>
                <w:lang w:eastAsia="en-US"/>
              </w:rPr>
            </w:pPr>
            <w:r w:rsidRPr="00A15624">
              <w:rPr>
                <w:rFonts w:asciiTheme="minorHAnsi" w:eastAsiaTheme="minorHAnsi" w:hAnsiTheme="minorHAnsi" w:cstheme="minorBidi"/>
                <w:sz w:val="22"/>
                <w:szCs w:val="22"/>
                <w:lang w:eastAsia="en-US"/>
              </w:rPr>
              <w:t>the Committee w</w:t>
            </w:r>
            <w:r>
              <w:rPr>
                <w:rFonts w:asciiTheme="minorHAnsi" w:eastAsiaTheme="minorHAnsi" w:hAnsiTheme="minorHAnsi" w:cstheme="minorBidi"/>
                <w:sz w:val="22"/>
                <w:szCs w:val="22"/>
                <w:lang w:eastAsia="en-US"/>
              </w:rPr>
              <w:t>as</w:t>
            </w:r>
            <w:r w:rsidRPr="00A15624">
              <w:rPr>
                <w:rFonts w:asciiTheme="minorHAnsi" w:eastAsiaTheme="minorHAnsi" w:hAnsiTheme="minorHAnsi" w:cstheme="minorBidi"/>
                <w:sz w:val="22"/>
                <w:szCs w:val="22"/>
                <w:lang w:eastAsia="en-US"/>
              </w:rPr>
              <w:t xml:space="preserve"> informed</w:t>
            </w:r>
            <w:r>
              <w:rPr>
                <w:rFonts w:asciiTheme="minorHAnsi" w:eastAsiaTheme="minorHAnsi" w:hAnsiTheme="minorHAnsi" w:cstheme="minorBidi"/>
                <w:sz w:val="22"/>
                <w:szCs w:val="22"/>
                <w:lang w:eastAsia="en-US"/>
              </w:rPr>
              <w:t xml:space="preserve"> that</w:t>
            </w:r>
            <w:r w:rsidRPr="00A15624">
              <w:rPr>
                <w:rFonts w:asciiTheme="minorHAnsi" w:eastAsiaTheme="minorHAnsi" w:hAnsiTheme="minorHAnsi" w:cstheme="minorBidi"/>
                <w:sz w:val="22"/>
                <w:szCs w:val="22"/>
                <w:lang w:eastAsia="en-US"/>
              </w:rPr>
              <w:t xml:space="preserve"> the budget plan had changed since the issue of the DPF papers and </w:t>
            </w:r>
            <w:r w:rsidR="009D69ED" w:rsidRPr="00A15624">
              <w:rPr>
                <w:rFonts w:asciiTheme="minorHAnsi" w:eastAsiaTheme="minorHAnsi" w:hAnsiTheme="minorHAnsi" w:cstheme="minorBidi"/>
                <w:sz w:val="22"/>
                <w:szCs w:val="22"/>
                <w:lang w:eastAsia="en-US"/>
              </w:rPr>
              <w:t>so requested</w:t>
            </w:r>
            <w:r w:rsidRPr="00A15624">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for assurance that </w:t>
            </w:r>
            <w:r w:rsidRPr="00A15624">
              <w:rPr>
                <w:rFonts w:asciiTheme="minorHAnsi" w:eastAsiaTheme="minorHAnsi" w:hAnsiTheme="minorHAnsi" w:cstheme="minorBidi"/>
                <w:sz w:val="22"/>
                <w:szCs w:val="22"/>
                <w:lang w:eastAsia="en-US"/>
              </w:rPr>
              <w:t>the revised budget should be discussed in detail at the Board meeting.</w:t>
            </w:r>
          </w:p>
          <w:p w14:paraId="653DDDBA" w14:textId="1CF079FA" w:rsidR="00515868" w:rsidRPr="001E3782" w:rsidRDefault="00515868" w:rsidP="001E3782">
            <w:pPr>
              <w:pStyle w:val="NormalWeb"/>
              <w:numPr>
                <w:ilvl w:val="0"/>
                <w:numId w:val="24"/>
              </w:numPr>
              <w:spacing w:before="0" w:beforeAutospacing="0" w:after="0" w:afterAutospacing="0"/>
              <w:ind w:left="259"/>
              <w:rPr>
                <w:rFonts w:asciiTheme="minorHAnsi" w:eastAsiaTheme="minorHAnsi" w:hAnsiTheme="minorHAnsi" w:cstheme="minorBidi"/>
                <w:sz w:val="22"/>
                <w:szCs w:val="22"/>
                <w:lang w:eastAsia="en-US"/>
              </w:rPr>
            </w:pPr>
            <w:r w:rsidRPr="001E3782">
              <w:rPr>
                <w:rFonts w:asciiTheme="minorHAnsi" w:eastAsiaTheme="minorHAnsi" w:hAnsiTheme="minorHAnsi" w:cstheme="minorBidi"/>
                <w:sz w:val="22"/>
                <w:szCs w:val="22"/>
                <w:lang w:eastAsia="en-US"/>
              </w:rPr>
              <w:t>The Committee</w:t>
            </w:r>
            <w:r w:rsidR="005D6BBF">
              <w:rPr>
                <w:rFonts w:asciiTheme="minorHAnsi" w:eastAsiaTheme="minorHAnsi" w:hAnsiTheme="minorHAnsi" w:cstheme="minorBidi"/>
                <w:sz w:val="22"/>
                <w:szCs w:val="22"/>
                <w:lang w:eastAsia="en-US"/>
              </w:rPr>
              <w:t xml:space="preserve"> was assured that a number of risks had been addressed including contractor issues for the </w:t>
            </w:r>
            <w:r w:rsidR="004269D8">
              <w:rPr>
                <w:rFonts w:asciiTheme="minorHAnsi" w:eastAsiaTheme="minorHAnsi" w:hAnsiTheme="minorHAnsi" w:cstheme="minorBidi"/>
                <w:sz w:val="22"/>
                <w:szCs w:val="22"/>
                <w:lang w:eastAsia="en-US"/>
              </w:rPr>
              <w:t>air source</w:t>
            </w:r>
            <w:r w:rsidR="005D6BBF">
              <w:rPr>
                <w:rFonts w:asciiTheme="minorHAnsi" w:eastAsiaTheme="minorHAnsi" w:hAnsiTheme="minorHAnsi" w:cstheme="minorBidi"/>
                <w:sz w:val="22"/>
                <w:szCs w:val="22"/>
                <w:lang w:eastAsia="en-US"/>
              </w:rPr>
              <w:t xml:space="preserve"> heat pumps and the UEC contractor, both risks have been separately addressed by main contractors. A risk</w:t>
            </w:r>
            <w:r w:rsidRPr="001E3782">
              <w:rPr>
                <w:rFonts w:asciiTheme="minorHAnsi" w:eastAsiaTheme="minorHAnsi" w:hAnsiTheme="minorHAnsi" w:cstheme="minorBidi"/>
                <w:sz w:val="22"/>
                <w:szCs w:val="22"/>
                <w:lang w:eastAsia="en-US"/>
              </w:rPr>
              <w:t xml:space="preserve"> around the community stadium, </w:t>
            </w:r>
            <w:r w:rsidR="005D6BBF">
              <w:rPr>
                <w:rFonts w:asciiTheme="minorHAnsi" w:eastAsiaTheme="minorHAnsi" w:hAnsiTheme="minorHAnsi" w:cstheme="minorBidi"/>
                <w:sz w:val="22"/>
                <w:szCs w:val="22"/>
                <w:lang w:eastAsia="en-US"/>
              </w:rPr>
              <w:t>is also being mitigated which will support the Trust in an £8M lease payment</w:t>
            </w:r>
            <w:r w:rsidRPr="001E3782">
              <w:rPr>
                <w:rFonts w:asciiTheme="minorHAnsi" w:eastAsiaTheme="minorHAnsi" w:hAnsiTheme="minorHAnsi" w:cstheme="minorBidi"/>
                <w:sz w:val="22"/>
                <w:szCs w:val="22"/>
                <w:lang w:eastAsia="en-US"/>
              </w:rPr>
              <w:t>.</w:t>
            </w:r>
          </w:p>
          <w:p w14:paraId="5119D971" w14:textId="477AD575" w:rsidR="00515868" w:rsidRPr="001E3782" w:rsidRDefault="00515868" w:rsidP="001E3782">
            <w:pPr>
              <w:pStyle w:val="NormalWeb"/>
              <w:numPr>
                <w:ilvl w:val="0"/>
                <w:numId w:val="24"/>
              </w:numPr>
              <w:spacing w:before="0" w:beforeAutospacing="0" w:after="0" w:afterAutospacing="0"/>
              <w:ind w:left="259"/>
              <w:rPr>
                <w:rFonts w:asciiTheme="minorHAnsi" w:eastAsiaTheme="minorHAnsi" w:hAnsiTheme="minorHAnsi" w:cstheme="minorBidi"/>
                <w:sz w:val="22"/>
                <w:szCs w:val="22"/>
                <w:lang w:eastAsia="en-US"/>
              </w:rPr>
            </w:pPr>
            <w:r w:rsidRPr="001E3782">
              <w:rPr>
                <w:rFonts w:asciiTheme="minorHAnsi" w:eastAsiaTheme="minorHAnsi" w:hAnsiTheme="minorHAnsi" w:cstheme="minorBidi"/>
                <w:sz w:val="22"/>
                <w:szCs w:val="22"/>
                <w:lang w:eastAsia="en-US"/>
              </w:rPr>
              <w:t xml:space="preserve">The Committee </w:t>
            </w:r>
            <w:r w:rsidR="005D6BBF">
              <w:rPr>
                <w:rFonts w:asciiTheme="minorHAnsi" w:eastAsiaTheme="minorHAnsi" w:hAnsiTheme="minorHAnsi" w:cstheme="minorBidi"/>
                <w:sz w:val="22"/>
                <w:szCs w:val="22"/>
                <w:lang w:eastAsia="en-US"/>
              </w:rPr>
              <w:t>also welcomed</w:t>
            </w:r>
            <w:r w:rsidRPr="001E3782">
              <w:rPr>
                <w:rFonts w:asciiTheme="minorHAnsi" w:eastAsiaTheme="minorHAnsi" w:hAnsiTheme="minorHAnsi" w:cstheme="minorBidi"/>
                <w:sz w:val="22"/>
                <w:szCs w:val="22"/>
                <w:lang w:eastAsia="en-US"/>
              </w:rPr>
              <w:t xml:space="preserve"> the news </w:t>
            </w:r>
            <w:r w:rsidR="005D6BBF">
              <w:rPr>
                <w:rFonts w:asciiTheme="minorHAnsi" w:eastAsiaTheme="minorHAnsi" w:hAnsiTheme="minorHAnsi" w:cstheme="minorBidi"/>
                <w:sz w:val="22"/>
                <w:szCs w:val="22"/>
                <w:lang w:eastAsia="en-US"/>
              </w:rPr>
              <w:t>of a new central NHSE Efficiency Exchange platform with the potential to</w:t>
            </w:r>
            <w:r w:rsidR="00FA5A45">
              <w:rPr>
                <w:rFonts w:asciiTheme="minorHAnsi" w:eastAsiaTheme="minorHAnsi" w:hAnsiTheme="minorHAnsi" w:cstheme="minorBidi"/>
                <w:sz w:val="22"/>
                <w:szCs w:val="22"/>
                <w:lang w:eastAsia="en-US"/>
              </w:rPr>
              <w:t xml:space="preserve"> share</w:t>
            </w:r>
            <w:r w:rsidR="005D6BBF">
              <w:rPr>
                <w:rFonts w:asciiTheme="minorHAnsi" w:eastAsiaTheme="minorHAnsi" w:hAnsiTheme="minorHAnsi" w:cstheme="minorBidi"/>
                <w:sz w:val="22"/>
                <w:szCs w:val="22"/>
                <w:lang w:eastAsia="en-US"/>
              </w:rPr>
              <w:t xml:space="preserve"> learn</w:t>
            </w:r>
            <w:r w:rsidR="00FA5A45">
              <w:rPr>
                <w:rFonts w:asciiTheme="minorHAnsi" w:eastAsiaTheme="minorHAnsi" w:hAnsiTheme="minorHAnsi" w:cstheme="minorBidi"/>
                <w:sz w:val="22"/>
                <w:szCs w:val="22"/>
                <w:lang w:eastAsia="en-US"/>
              </w:rPr>
              <w:t>ing/good practice</w:t>
            </w:r>
            <w:r w:rsidR="00A15624">
              <w:rPr>
                <w:rFonts w:asciiTheme="minorHAnsi" w:eastAsiaTheme="minorHAnsi" w:hAnsiTheme="minorHAnsi" w:cstheme="minorBidi"/>
                <w:sz w:val="22"/>
                <w:szCs w:val="22"/>
                <w:lang w:eastAsia="en-US"/>
              </w:rPr>
              <w:t>.</w:t>
            </w:r>
          </w:p>
        </w:tc>
        <w:tc>
          <w:tcPr>
            <w:tcW w:w="1460" w:type="dxa"/>
          </w:tcPr>
          <w:p w14:paraId="67B79FE9" w14:textId="00C347B0" w:rsidR="00435608" w:rsidRDefault="00515868" w:rsidP="008B0A34">
            <w:r>
              <w:t>BOARD</w:t>
            </w:r>
          </w:p>
        </w:tc>
        <w:tc>
          <w:tcPr>
            <w:tcW w:w="1991" w:type="dxa"/>
            <w:gridSpan w:val="2"/>
          </w:tcPr>
          <w:p w14:paraId="0A7EA203" w14:textId="44C89724" w:rsidR="00435608" w:rsidRDefault="00515868" w:rsidP="008B0A34">
            <w:r>
              <w:t>INFORMATION</w:t>
            </w:r>
          </w:p>
        </w:tc>
      </w:tr>
      <w:tr w:rsidR="00BC39C3" w14:paraId="319B3126" w14:textId="77777777" w:rsidTr="00A15624">
        <w:tc>
          <w:tcPr>
            <w:tcW w:w="1467" w:type="dxa"/>
          </w:tcPr>
          <w:p w14:paraId="5ED9A9D8" w14:textId="75AB5C6D" w:rsidR="00BC39C3" w:rsidRDefault="00BC39C3" w:rsidP="008B0A34">
            <w:pPr>
              <w:rPr>
                <w:b/>
                <w:bCs/>
                <w:sz w:val="20"/>
                <w:szCs w:val="20"/>
              </w:rPr>
            </w:pPr>
            <w:r>
              <w:rPr>
                <w:rFonts w:ascii="Arial" w:eastAsia="Calibri" w:hAnsi="Arial" w:cs="Arial"/>
                <w:b/>
                <w:bCs/>
                <w:noProof/>
                <w:color w:val="0072C6"/>
                <w:lang w:eastAsia="en-GB"/>
              </w:rPr>
              <w:t>YTHFT</w:t>
            </w:r>
          </w:p>
        </w:tc>
        <w:tc>
          <w:tcPr>
            <w:tcW w:w="10470" w:type="dxa"/>
            <w:gridSpan w:val="9"/>
          </w:tcPr>
          <w:p w14:paraId="5F55B31C" w14:textId="77777777" w:rsidR="00BC39C3" w:rsidRDefault="00BC39C3" w:rsidP="00BC39C3">
            <w:pPr>
              <w:pStyle w:val="ListParagraph"/>
              <w:ind w:left="242"/>
            </w:pPr>
          </w:p>
        </w:tc>
        <w:tc>
          <w:tcPr>
            <w:tcW w:w="1460" w:type="dxa"/>
          </w:tcPr>
          <w:p w14:paraId="75C52BBC" w14:textId="77777777" w:rsidR="00BC39C3" w:rsidRDefault="00BC39C3" w:rsidP="008B0A34"/>
        </w:tc>
        <w:tc>
          <w:tcPr>
            <w:tcW w:w="1991" w:type="dxa"/>
            <w:gridSpan w:val="2"/>
          </w:tcPr>
          <w:p w14:paraId="282BC116" w14:textId="77777777" w:rsidR="00BC39C3" w:rsidRDefault="00BC39C3" w:rsidP="008B0A34"/>
        </w:tc>
      </w:tr>
      <w:tr w:rsidR="00BC39C3" w14:paraId="0F28792C" w14:textId="77777777" w:rsidTr="00A15624">
        <w:tc>
          <w:tcPr>
            <w:tcW w:w="1467" w:type="dxa"/>
          </w:tcPr>
          <w:p w14:paraId="41B6F3E6" w14:textId="73E2EE7B" w:rsidR="00BC39C3" w:rsidRDefault="00BC39C3" w:rsidP="008B0A34">
            <w:pPr>
              <w:rPr>
                <w:b/>
                <w:bCs/>
                <w:sz w:val="20"/>
                <w:szCs w:val="20"/>
              </w:rPr>
            </w:pPr>
            <w:r>
              <w:rPr>
                <w:b/>
                <w:bCs/>
                <w:sz w:val="20"/>
                <w:szCs w:val="20"/>
              </w:rPr>
              <w:t>i)</w:t>
            </w:r>
          </w:p>
        </w:tc>
        <w:tc>
          <w:tcPr>
            <w:tcW w:w="10470" w:type="dxa"/>
            <w:gridSpan w:val="9"/>
          </w:tcPr>
          <w:p w14:paraId="040038F0" w14:textId="16A07458" w:rsidR="00426AB9" w:rsidRDefault="00426AB9" w:rsidP="00426AB9">
            <w:pPr>
              <w:pStyle w:val="NormalWeb"/>
              <w:numPr>
                <w:ilvl w:val="0"/>
                <w:numId w:val="41"/>
              </w:numPr>
              <w:spacing w:before="0" w:beforeAutospacing="0" w:after="0" w:afterAutospacing="0"/>
              <w:ind w:left="259"/>
              <w:rPr>
                <w:rFonts w:ascii="Calibri" w:hAnsi="Calibri" w:cs="Calibri"/>
                <w:sz w:val="22"/>
                <w:szCs w:val="22"/>
              </w:rPr>
            </w:pPr>
            <w:r>
              <w:rPr>
                <w:rFonts w:asciiTheme="minorHAnsi" w:eastAsiaTheme="minorHAnsi" w:hAnsiTheme="minorHAnsi" w:cstheme="minorBidi"/>
                <w:sz w:val="22"/>
                <w:szCs w:val="22"/>
                <w:lang w:eastAsia="en-US"/>
              </w:rPr>
              <w:t>The Committee received the quarterly LLP report. It discussed the progress made on minor works and noted that since the last committee 50% of the</w:t>
            </w:r>
            <w:r>
              <w:rPr>
                <w:rFonts w:ascii="Calibri" w:hAnsi="Calibri" w:cs="Calibri"/>
                <w:sz w:val="22"/>
                <w:szCs w:val="22"/>
              </w:rPr>
              <w:t xml:space="preserve"> 400 outstanding jobs – have now been addressed. The committee asked that an appropriate set of comms messages were sent out to inform the Trust not only of the progress but the new process in place for minor works. </w:t>
            </w:r>
          </w:p>
          <w:p w14:paraId="249C02F3" w14:textId="74861E59" w:rsidR="00426AB9" w:rsidRDefault="00426AB9" w:rsidP="00426AB9">
            <w:pPr>
              <w:pStyle w:val="NormalWeb"/>
              <w:numPr>
                <w:ilvl w:val="0"/>
                <w:numId w:val="41"/>
              </w:numPr>
              <w:spacing w:before="0" w:beforeAutospacing="0" w:after="0" w:afterAutospacing="0"/>
              <w:ind w:left="259"/>
              <w:rPr>
                <w:rFonts w:ascii="Calibri" w:hAnsi="Calibri" w:cs="Calibri"/>
                <w:sz w:val="22"/>
                <w:szCs w:val="22"/>
              </w:rPr>
            </w:pPr>
            <w:r>
              <w:rPr>
                <w:rFonts w:ascii="Calibri" w:hAnsi="Calibri" w:cs="Calibri"/>
                <w:sz w:val="22"/>
                <w:szCs w:val="22"/>
              </w:rPr>
              <w:t xml:space="preserve">The Committee noted sickness absence and </w:t>
            </w:r>
            <w:r w:rsidR="003A1339">
              <w:rPr>
                <w:rFonts w:ascii="Calibri" w:hAnsi="Calibri" w:cs="Calibri"/>
                <w:sz w:val="22"/>
                <w:szCs w:val="22"/>
              </w:rPr>
              <w:t>the positive work to mitigate longer term sickness.</w:t>
            </w:r>
          </w:p>
          <w:p w14:paraId="58473F02" w14:textId="181F2B43" w:rsidR="003A1339" w:rsidRDefault="003A1339" w:rsidP="00426AB9">
            <w:pPr>
              <w:pStyle w:val="NormalWeb"/>
              <w:numPr>
                <w:ilvl w:val="0"/>
                <w:numId w:val="41"/>
              </w:numPr>
              <w:spacing w:before="0" w:beforeAutospacing="0" w:after="0" w:afterAutospacing="0"/>
              <w:ind w:left="259"/>
              <w:rPr>
                <w:rFonts w:ascii="Calibri" w:hAnsi="Calibri" w:cs="Calibri"/>
                <w:sz w:val="22"/>
                <w:szCs w:val="22"/>
              </w:rPr>
            </w:pPr>
            <w:r>
              <w:rPr>
                <w:rFonts w:ascii="Calibri" w:hAnsi="Calibri" w:cs="Calibri"/>
                <w:sz w:val="22"/>
                <w:szCs w:val="22"/>
              </w:rPr>
              <w:t>The Committee welcomed the news that the CIP was forecast to be fully delivered and overachieve by £18k</w:t>
            </w:r>
          </w:p>
          <w:p w14:paraId="7C8323E3" w14:textId="568EB9EF" w:rsidR="00426AB9" w:rsidRDefault="003A1339" w:rsidP="00426AB9">
            <w:pPr>
              <w:pStyle w:val="NormalWeb"/>
              <w:numPr>
                <w:ilvl w:val="0"/>
                <w:numId w:val="41"/>
              </w:numPr>
              <w:spacing w:before="0" w:beforeAutospacing="0" w:after="0" w:afterAutospacing="0"/>
              <w:ind w:left="259"/>
              <w:rPr>
                <w:rFonts w:ascii="Calibri" w:hAnsi="Calibri" w:cs="Calibri"/>
                <w:sz w:val="22"/>
                <w:szCs w:val="22"/>
              </w:rPr>
            </w:pPr>
            <w:r>
              <w:rPr>
                <w:rFonts w:ascii="Calibri" w:hAnsi="Calibri" w:cs="Calibri"/>
                <w:sz w:val="22"/>
                <w:szCs w:val="22"/>
              </w:rPr>
              <w:t>The Committee</w:t>
            </w:r>
            <w:r w:rsidR="006615CB">
              <w:rPr>
                <w:rFonts w:ascii="Calibri" w:hAnsi="Calibri" w:cs="Calibri"/>
                <w:sz w:val="22"/>
                <w:szCs w:val="22"/>
              </w:rPr>
              <w:t xml:space="preserve"> </w:t>
            </w:r>
            <w:r>
              <w:rPr>
                <w:rFonts w:ascii="Calibri" w:hAnsi="Calibri" w:cs="Calibri"/>
                <w:sz w:val="22"/>
                <w:szCs w:val="22"/>
              </w:rPr>
              <w:t>sought assurance on the issues around ventilation. It was informed that plans are in place to address the issues</w:t>
            </w:r>
            <w:r w:rsidR="006615CB">
              <w:rPr>
                <w:rFonts w:ascii="Calibri" w:hAnsi="Calibri" w:cs="Calibri"/>
                <w:sz w:val="22"/>
                <w:szCs w:val="22"/>
              </w:rPr>
              <w:t xml:space="preserve"> e.g.</w:t>
            </w:r>
            <w:r>
              <w:rPr>
                <w:rFonts w:ascii="Calibri" w:hAnsi="Calibri" w:cs="Calibri"/>
                <w:sz w:val="22"/>
                <w:szCs w:val="22"/>
              </w:rPr>
              <w:t xml:space="preserve"> in Bridlington with the equipment and also culture/people issues are being managed.</w:t>
            </w:r>
          </w:p>
          <w:p w14:paraId="22B7A881" w14:textId="6C16E203" w:rsidR="00BC39C3" w:rsidRDefault="003A1339" w:rsidP="003A1339">
            <w:pPr>
              <w:pStyle w:val="NormalWeb"/>
              <w:numPr>
                <w:ilvl w:val="0"/>
                <w:numId w:val="41"/>
              </w:numPr>
              <w:spacing w:before="0" w:beforeAutospacing="0" w:after="0" w:afterAutospacing="0"/>
              <w:ind w:left="259"/>
            </w:pPr>
            <w:r w:rsidRPr="003A1339">
              <w:rPr>
                <w:rFonts w:ascii="Calibri" w:hAnsi="Calibri" w:cs="Calibri"/>
                <w:sz w:val="22"/>
                <w:szCs w:val="22"/>
              </w:rPr>
              <w:t xml:space="preserve">The Committee sought assurance around the CAFM system and why it has taken so long to implement its phased deployment. The committee asked for </w:t>
            </w:r>
            <w:r>
              <w:rPr>
                <w:rFonts w:ascii="Calibri" w:hAnsi="Calibri" w:cs="Calibri"/>
                <w:sz w:val="22"/>
                <w:szCs w:val="22"/>
              </w:rPr>
              <w:t xml:space="preserve">a programme report of the system deployment including deployment of RFID </w:t>
            </w:r>
            <w:r w:rsidR="009D69ED">
              <w:rPr>
                <w:rFonts w:ascii="Calibri" w:hAnsi="Calibri" w:cs="Calibri"/>
                <w:sz w:val="22"/>
                <w:szCs w:val="22"/>
              </w:rPr>
              <w:t>i.e.,</w:t>
            </w:r>
            <w:r>
              <w:rPr>
                <w:rFonts w:ascii="Calibri" w:hAnsi="Calibri" w:cs="Calibri"/>
                <w:sz w:val="22"/>
                <w:szCs w:val="22"/>
              </w:rPr>
              <w:t xml:space="preserve"> asset tagging</w:t>
            </w:r>
            <w:r w:rsidR="00CC7213">
              <w:rPr>
                <w:rFonts w:ascii="Calibri" w:hAnsi="Calibri" w:cs="Calibri"/>
                <w:sz w:val="22"/>
                <w:szCs w:val="22"/>
              </w:rPr>
              <w:t>,</w:t>
            </w:r>
            <w:r>
              <w:rPr>
                <w:rFonts w:ascii="Calibri" w:hAnsi="Calibri" w:cs="Calibri"/>
                <w:sz w:val="22"/>
                <w:szCs w:val="22"/>
              </w:rPr>
              <w:t xml:space="preserve"> to gain assurance that benefits were being realised and DIS were being engaged as necessary.</w:t>
            </w:r>
          </w:p>
        </w:tc>
        <w:tc>
          <w:tcPr>
            <w:tcW w:w="1460" w:type="dxa"/>
          </w:tcPr>
          <w:p w14:paraId="7AC8308E" w14:textId="1AE84A0C" w:rsidR="00BC39C3" w:rsidRDefault="00925C62" w:rsidP="008B0A34">
            <w:r>
              <w:t>BOARD</w:t>
            </w:r>
          </w:p>
        </w:tc>
        <w:tc>
          <w:tcPr>
            <w:tcW w:w="1991" w:type="dxa"/>
            <w:gridSpan w:val="2"/>
          </w:tcPr>
          <w:p w14:paraId="6CFBB3AA" w14:textId="02E0AD4B" w:rsidR="00BC39C3" w:rsidRDefault="00925C62" w:rsidP="008B0A34">
            <w:r>
              <w:t>INFORMATION</w:t>
            </w:r>
          </w:p>
        </w:tc>
      </w:tr>
      <w:tr w:rsidR="00516ACB" w14:paraId="541C69C0" w14:textId="77777777" w:rsidTr="00A15624">
        <w:tc>
          <w:tcPr>
            <w:tcW w:w="1467" w:type="dxa"/>
          </w:tcPr>
          <w:p w14:paraId="4D0D8F47" w14:textId="32C8C8D0" w:rsidR="00516ACB" w:rsidRDefault="00516ACB" w:rsidP="008B0A34">
            <w:pPr>
              <w:rPr>
                <w:b/>
                <w:bCs/>
                <w:sz w:val="20"/>
                <w:szCs w:val="20"/>
              </w:rPr>
            </w:pPr>
            <w:r>
              <w:rPr>
                <w:b/>
                <w:bCs/>
                <w:sz w:val="20"/>
                <w:szCs w:val="20"/>
              </w:rPr>
              <w:t>ii)</w:t>
            </w:r>
          </w:p>
        </w:tc>
        <w:tc>
          <w:tcPr>
            <w:tcW w:w="10470" w:type="dxa"/>
            <w:gridSpan w:val="9"/>
          </w:tcPr>
          <w:p w14:paraId="47DB16E9" w14:textId="77777777" w:rsidR="00742BE9" w:rsidRPr="00742BE9" w:rsidRDefault="00742BE9" w:rsidP="00742BE9">
            <w:pPr>
              <w:pStyle w:val="xmsonormal"/>
              <w:numPr>
                <w:ilvl w:val="0"/>
                <w:numId w:val="44"/>
              </w:numPr>
              <w:shd w:val="clear" w:color="auto" w:fill="FFFFFF"/>
              <w:spacing w:before="0" w:beforeAutospacing="0" w:after="0" w:afterAutospacing="0"/>
              <w:ind w:left="259"/>
              <w:rPr>
                <w:rFonts w:ascii="Calibri" w:hAnsi="Calibri" w:cs="Calibri"/>
                <w:color w:val="242424"/>
                <w:sz w:val="22"/>
                <w:szCs w:val="22"/>
              </w:rPr>
            </w:pPr>
            <w:r>
              <w:rPr>
                <w:rFonts w:ascii="Calibri" w:hAnsi="Calibri" w:cs="Calibri"/>
                <w:color w:val="242424"/>
                <w:sz w:val="22"/>
                <w:szCs w:val="22"/>
                <w:bdr w:val="none" w:sz="0" w:space="0" w:color="auto" w:frame="1"/>
              </w:rPr>
              <w:t xml:space="preserve">The Committee welcomed the sustainability progress particularly on progress with net zero carbon emissions. The Committee was also assured that the carbon reduction projects at both York and Bridlington </w:t>
            </w:r>
            <w:r w:rsidRPr="00742BE9">
              <w:rPr>
                <w:rFonts w:ascii="Calibri" w:hAnsi="Calibri" w:cs="Calibri"/>
                <w:color w:val="242424"/>
                <w:sz w:val="22"/>
                <w:szCs w:val="22"/>
                <w:bdr w:val="none" w:sz="0" w:space="0" w:color="auto" w:frame="1"/>
              </w:rPr>
              <w:t>despite various difficulties, are due to receive their full grant allocation. The heat pump system at York will be installed after the grant end date of 31</w:t>
            </w:r>
            <w:r w:rsidRPr="00742BE9">
              <w:rPr>
                <w:rFonts w:ascii="Calibri" w:hAnsi="Calibri" w:cs="Calibri"/>
                <w:color w:val="242424"/>
                <w:sz w:val="22"/>
                <w:szCs w:val="22"/>
                <w:bdr w:val="none" w:sz="0" w:space="0" w:color="auto" w:frame="1"/>
                <w:vertAlign w:val="superscript"/>
              </w:rPr>
              <w:t>st</w:t>
            </w:r>
            <w:r w:rsidRPr="00742BE9">
              <w:rPr>
                <w:rFonts w:ascii="Calibri" w:hAnsi="Calibri" w:cs="Calibri"/>
                <w:color w:val="242424"/>
                <w:sz w:val="22"/>
                <w:szCs w:val="22"/>
                <w:bdr w:val="none" w:sz="0" w:space="0" w:color="auto" w:frame="1"/>
              </w:rPr>
              <w:t> March but the Trust will have a vesting certificate to demonstrate its ownership of this equipment.</w:t>
            </w:r>
          </w:p>
          <w:p w14:paraId="1C3E8085" w14:textId="139CE7B2" w:rsidR="00516ACB" w:rsidRPr="00742BE9" w:rsidRDefault="00742BE9" w:rsidP="00742BE9">
            <w:pPr>
              <w:pStyle w:val="xmsonormal"/>
              <w:numPr>
                <w:ilvl w:val="0"/>
                <w:numId w:val="44"/>
              </w:numPr>
              <w:shd w:val="clear" w:color="auto" w:fill="FFFFFF"/>
              <w:spacing w:before="0" w:beforeAutospacing="0" w:after="0" w:afterAutospacing="0"/>
              <w:ind w:left="259"/>
              <w:rPr>
                <w:rFonts w:ascii="Calibri" w:hAnsi="Calibri" w:cs="Calibri"/>
                <w:color w:val="242424"/>
                <w:sz w:val="22"/>
                <w:szCs w:val="22"/>
              </w:rPr>
            </w:pPr>
            <w:r>
              <w:rPr>
                <w:rFonts w:ascii="Calibri" w:hAnsi="Calibri" w:cs="Calibri"/>
                <w:color w:val="242424"/>
                <w:sz w:val="22"/>
                <w:szCs w:val="22"/>
                <w:bdr w:val="none" w:sz="0" w:space="0" w:color="auto" w:frame="1"/>
              </w:rPr>
              <w:t>The Committee also welcomed the news of a Sustainable procurement policy being drafted and that further grant applications to support the sustainability programme have been identified.</w:t>
            </w:r>
          </w:p>
        </w:tc>
        <w:tc>
          <w:tcPr>
            <w:tcW w:w="1460" w:type="dxa"/>
          </w:tcPr>
          <w:p w14:paraId="24D52D1C" w14:textId="739BA45A" w:rsidR="00516ACB" w:rsidRDefault="00E8307C" w:rsidP="008B0A34">
            <w:r>
              <w:t>BOARD</w:t>
            </w:r>
          </w:p>
        </w:tc>
        <w:tc>
          <w:tcPr>
            <w:tcW w:w="1991" w:type="dxa"/>
            <w:gridSpan w:val="2"/>
          </w:tcPr>
          <w:p w14:paraId="213046E4" w14:textId="3DF59653" w:rsidR="00516ACB" w:rsidRDefault="00E8307C" w:rsidP="008B0A34">
            <w:r>
              <w:t>INFORMATION</w:t>
            </w:r>
          </w:p>
        </w:tc>
      </w:tr>
      <w:tr w:rsidR="00426AB9" w14:paraId="075FC71A" w14:textId="77777777" w:rsidTr="00A15624">
        <w:tc>
          <w:tcPr>
            <w:tcW w:w="1467" w:type="dxa"/>
          </w:tcPr>
          <w:p w14:paraId="1EC76A9D" w14:textId="5BCC9C65" w:rsidR="00426AB9" w:rsidRDefault="00426AB9" w:rsidP="008B0A34">
            <w:pPr>
              <w:rPr>
                <w:b/>
                <w:bCs/>
                <w:sz w:val="20"/>
                <w:szCs w:val="20"/>
              </w:rPr>
            </w:pPr>
            <w:r>
              <w:rPr>
                <w:b/>
                <w:bCs/>
                <w:sz w:val="20"/>
                <w:szCs w:val="20"/>
              </w:rPr>
              <w:t>ii</w:t>
            </w:r>
            <w:r w:rsidR="00516ACB">
              <w:rPr>
                <w:b/>
                <w:bCs/>
                <w:sz w:val="20"/>
                <w:szCs w:val="20"/>
              </w:rPr>
              <w:t>i</w:t>
            </w:r>
            <w:r>
              <w:rPr>
                <w:b/>
                <w:bCs/>
                <w:sz w:val="20"/>
                <w:szCs w:val="20"/>
              </w:rPr>
              <w:t>)</w:t>
            </w:r>
          </w:p>
        </w:tc>
        <w:tc>
          <w:tcPr>
            <w:tcW w:w="10470" w:type="dxa"/>
            <w:gridSpan w:val="9"/>
          </w:tcPr>
          <w:p w14:paraId="6351D5FC" w14:textId="0C2954AD" w:rsidR="00426AB9" w:rsidRDefault="00426AB9" w:rsidP="00B1079F">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Committee received the EPAM minutes</w:t>
            </w:r>
            <w:r w:rsidR="00240FBE">
              <w:rPr>
                <w:rFonts w:asciiTheme="minorHAnsi" w:eastAsiaTheme="minorHAnsi" w:hAnsiTheme="minorHAnsi" w:cstheme="minorBidi"/>
                <w:sz w:val="22"/>
                <w:szCs w:val="22"/>
                <w:lang w:eastAsia="en-US"/>
              </w:rPr>
              <w:t>.</w:t>
            </w:r>
          </w:p>
        </w:tc>
        <w:tc>
          <w:tcPr>
            <w:tcW w:w="1460" w:type="dxa"/>
          </w:tcPr>
          <w:p w14:paraId="558B134A" w14:textId="77777777" w:rsidR="00426AB9" w:rsidRDefault="00426AB9" w:rsidP="008B0A34"/>
        </w:tc>
        <w:tc>
          <w:tcPr>
            <w:tcW w:w="1991" w:type="dxa"/>
            <w:gridSpan w:val="2"/>
          </w:tcPr>
          <w:p w14:paraId="536FE98E" w14:textId="77777777" w:rsidR="00426AB9" w:rsidRDefault="00426AB9" w:rsidP="008B0A34"/>
        </w:tc>
      </w:tr>
      <w:tr w:rsidR="008B0A34" w14:paraId="296E8FB6" w14:textId="77777777" w:rsidTr="00A15624">
        <w:tc>
          <w:tcPr>
            <w:tcW w:w="15388" w:type="dxa"/>
            <w:gridSpan w:val="13"/>
          </w:tcPr>
          <w:p w14:paraId="66DC3873" w14:textId="3B6188A8" w:rsidR="008B0A34" w:rsidRDefault="008B0A34" w:rsidP="008B0A34">
            <w:r w:rsidRPr="00DB5E65">
              <w:rPr>
                <w:rFonts w:ascii="Arial" w:eastAsia="Calibri" w:hAnsi="Arial" w:cs="Arial"/>
                <w:b/>
                <w:bCs/>
                <w:noProof/>
                <w:color w:val="0072C6"/>
                <w:lang w:eastAsia="en-GB"/>
              </w:rPr>
              <w:t>Governance</w:t>
            </w:r>
          </w:p>
        </w:tc>
      </w:tr>
      <w:tr w:rsidR="00CC4B60" w14:paraId="63EED0D8" w14:textId="77777777" w:rsidTr="00A15624">
        <w:tc>
          <w:tcPr>
            <w:tcW w:w="1467" w:type="dxa"/>
          </w:tcPr>
          <w:p w14:paraId="1C626790" w14:textId="2BCDAF10" w:rsidR="008B0A34" w:rsidRPr="00D02D03" w:rsidRDefault="008B0A34" w:rsidP="008B0A34">
            <w:pPr>
              <w:rPr>
                <w:b/>
                <w:bCs/>
                <w:sz w:val="20"/>
                <w:szCs w:val="20"/>
              </w:rPr>
            </w:pPr>
            <w:r w:rsidRPr="00D02D03">
              <w:rPr>
                <w:b/>
                <w:bCs/>
                <w:sz w:val="20"/>
                <w:szCs w:val="20"/>
              </w:rPr>
              <w:t>BAF</w:t>
            </w:r>
            <w:r w:rsidR="009567C7">
              <w:rPr>
                <w:b/>
                <w:bCs/>
                <w:sz w:val="20"/>
                <w:szCs w:val="20"/>
              </w:rPr>
              <w:t>/Corporate</w:t>
            </w:r>
          </w:p>
        </w:tc>
        <w:tc>
          <w:tcPr>
            <w:tcW w:w="10470" w:type="dxa"/>
            <w:gridSpan w:val="9"/>
          </w:tcPr>
          <w:p w14:paraId="062BB57D" w14:textId="446DEA32" w:rsidR="008B0A34" w:rsidRDefault="00515868" w:rsidP="008B0A34">
            <w:pPr>
              <w:pStyle w:val="ListParagraph"/>
              <w:numPr>
                <w:ilvl w:val="0"/>
                <w:numId w:val="28"/>
              </w:numPr>
            </w:pPr>
            <w:r>
              <w:rPr>
                <w:rFonts w:ascii="Calibri" w:hAnsi="Calibri" w:cs="Calibri"/>
              </w:rPr>
              <w:t>No immediate updates were made to the BAF.</w:t>
            </w:r>
          </w:p>
        </w:tc>
        <w:tc>
          <w:tcPr>
            <w:tcW w:w="1460" w:type="dxa"/>
          </w:tcPr>
          <w:p w14:paraId="55DE3C66" w14:textId="49A491D2" w:rsidR="008B0A34" w:rsidRDefault="008B0A34" w:rsidP="008B0A34">
            <w:r>
              <w:t>BOARD</w:t>
            </w:r>
          </w:p>
        </w:tc>
        <w:tc>
          <w:tcPr>
            <w:tcW w:w="1991" w:type="dxa"/>
            <w:gridSpan w:val="2"/>
          </w:tcPr>
          <w:p w14:paraId="49BFF38A" w14:textId="531EBD3B" w:rsidR="008B0A34" w:rsidRDefault="008B0A34" w:rsidP="008B0A34">
            <w:r>
              <w:t>INFORMATION</w:t>
            </w:r>
          </w:p>
        </w:tc>
      </w:tr>
      <w:tr w:rsidR="008B0A34" w14:paraId="00C92FB5" w14:textId="77777777" w:rsidTr="00A15624">
        <w:trPr>
          <w:trHeight w:val="255"/>
        </w:trPr>
        <w:tc>
          <w:tcPr>
            <w:tcW w:w="2461" w:type="dxa"/>
            <w:gridSpan w:val="2"/>
            <w:tcBorders>
              <w:top w:val="single" w:sz="4" w:space="0" w:color="auto"/>
              <w:left w:val="single" w:sz="4" w:space="0" w:color="auto"/>
              <w:bottom w:val="single" w:sz="4" w:space="0" w:color="auto"/>
              <w:right w:val="single" w:sz="4" w:space="0" w:color="auto"/>
            </w:tcBorders>
          </w:tcPr>
          <w:p w14:paraId="53674C6E" w14:textId="3E020944" w:rsidR="008B0A34" w:rsidRPr="00A36393" w:rsidRDefault="008B0A34" w:rsidP="008B0A34">
            <w:pPr>
              <w:rPr>
                <w:rFonts w:ascii="Arial" w:hAnsi="Arial" w:cs="Arial"/>
                <w:b/>
                <w:color w:val="000000" w:themeColor="text1"/>
              </w:rPr>
            </w:pPr>
          </w:p>
        </w:tc>
        <w:tc>
          <w:tcPr>
            <w:tcW w:w="12927" w:type="dxa"/>
            <w:gridSpan w:val="11"/>
            <w:tcBorders>
              <w:top w:val="single" w:sz="4" w:space="0" w:color="auto"/>
              <w:left w:val="single" w:sz="4" w:space="0" w:color="auto"/>
              <w:bottom w:val="single" w:sz="4" w:space="0" w:color="auto"/>
              <w:right w:val="single" w:sz="4" w:space="0" w:color="auto"/>
            </w:tcBorders>
          </w:tcPr>
          <w:p w14:paraId="14684FC7" w14:textId="7E3E7B02" w:rsidR="008B0A34" w:rsidRPr="00280045" w:rsidRDefault="008B0A34" w:rsidP="008B0A34">
            <w:pPr>
              <w:rPr>
                <w:rFonts w:ascii="Arial" w:hAnsi="Arial" w:cs="Arial"/>
                <w:b/>
                <w:color w:val="000000" w:themeColor="text1"/>
              </w:rPr>
            </w:pPr>
          </w:p>
        </w:tc>
      </w:tr>
      <w:tr w:rsidR="00BC39C3" w14:paraId="2A490B33" w14:textId="77777777" w:rsidTr="00A15624">
        <w:trPr>
          <w:trHeight w:val="255"/>
        </w:trPr>
        <w:tc>
          <w:tcPr>
            <w:tcW w:w="2461" w:type="dxa"/>
            <w:gridSpan w:val="2"/>
            <w:tcBorders>
              <w:top w:val="single" w:sz="4" w:space="0" w:color="auto"/>
              <w:left w:val="single" w:sz="4" w:space="0" w:color="auto"/>
              <w:bottom w:val="single" w:sz="4" w:space="0" w:color="auto"/>
              <w:right w:val="single" w:sz="4" w:space="0" w:color="auto"/>
            </w:tcBorders>
          </w:tcPr>
          <w:p w14:paraId="3ECDA849" w14:textId="130D9F3A" w:rsidR="008B0A34" w:rsidRDefault="008B0A34" w:rsidP="008B0A34">
            <w:pPr>
              <w:rPr>
                <w:rFonts w:ascii="Arial" w:hAnsi="Arial" w:cs="Arial"/>
                <w:b/>
                <w:color w:val="000000" w:themeColor="text1"/>
              </w:rPr>
            </w:pPr>
            <w:r>
              <w:rPr>
                <w:rFonts w:ascii="Arial" w:hAnsi="Arial" w:cs="Arial"/>
                <w:b/>
                <w:color w:val="000000" w:themeColor="text1"/>
              </w:rPr>
              <w:t>Trust strategic goals assured to Committee</w:t>
            </w:r>
          </w:p>
        </w:tc>
        <w:tc>
          <w:tcPr>
            <w:tcW w:w="6119" w:type="dxa"/>
            <w:gridSpan w:val="3"/>
            <w:tcBorders>
              <w:top w:val="single" w:sz="4" w:space="0" w:color="auto"/>
              <w:left w:val="single" w:sz="4" w:space="0" w:color="auto"/>
              <w:bottom w:val="single" w:sz="4" w:space="0" w:color="auto"/>
              <w:right w:val="single" w:sz="4" w:space="0" w:color="auto"/>
            </w:tcBorders>
            <w:hideMark/>
          </w:tcPr>
          <w:p w14:paraId="72BDD102" w14:textId="6D0F1577" w:rsidR="008B0A34" w:rsidRDefault="008B0A34" w:rsidP="008B0A34">
            <w:pPr>
              <w:rPr>
                <w:rFonts w:ascii="Arial" w:hAnsi="Arial" w:cs="Arial"/>
                <w:color w:val="000000" w:themeColor="text1"/>
              </w:rPr>
            </w:pPr>
            <w:r>
              <w:rPr>
                <w:rFonts w:ascii="Arial" w:eastAsia="Cambria" w:hAnsi="Arial" w:cs="Arial"/>
                <w:b/>
                <w:sz w:val="20"/>
                <w:szCs w:val="20"/>
              </w:rPr>
              <w:t>1. To deliver safe and high-quality patient care as part of an integrated system</w:t>
            </w:r>
          </w:p>
        </w:tc>
        <w:tc>
          <w:tcPr>
            <w:tcW w:w="506" w:type="dxa"/>
            <w:tcBorders>
              <w:top w:val="single" w:sz="4" w:space="0" w:color="auto"/>
              <w:left w:val="single" w:sz="4" w:space="0" w:color="auto"/>
              <w:bottom w:val="single" w:sz="4" w:space="0" w:color="auto"/>
              <w:right w:val="single" w:sz="4" w:space="0" w:color="auto"/>
            </w:tcBorders>
          </w:tcPr>
          <w:p w14:paraId="7708276B" w14:textId="77777777" w:rsidR="008B0A34" w:rsidRDefault="008B0A34" w:rsidP="008B0A34">
            <w:pPr>
              <w:rPr>
                <w:rFonts w:ascii="Arial" w:eastAsia="Calibri" w:hAnsi="Arial" w:cs="Arial"/>
                <w:sz w:val="24"/>
                <w:szCs w:val="24"/>
                <w:lang w:eastAsia="en-GB"/>
              </w:rPr>
            </w:pPr>
          </w:p>
          <w:p w14:paraId="0EDD3114" w14:textId="77777777" w:rsidR="008B0A34" w:rsidRDefault="008B0A34" w:rsidP="008B0A34">
            <w:pPr>
              <w:rPr>
                <w:rFonts w:ascii="Arial" w:hAnsi="Arial" w:cs="Arial"/>
                <w:color w:val="000000" w:themeColor="text1"/>
              </w:rPr>
            </w:pPr>
            <w:r>
              <w:rPr>
                <w:rFonts w:ascii="Arial" w:eastAsia="Calibri" w:hAnsi="Arial" w:cs="Arial"/>
                <w:sz w:val="24"/>
                <w:szCs w:val="24"/>
                <w:lang w:eastAsia="en-GB"/>
              </w:rPr>
              <w:fldChar w:fldCharType="begin">
                <w:ffData>
                  <w:name w:val=""/>
                  <w:enabled/>
                  <w:calcOnExit w:val="0"/>
                  <w:checkBox>
                    <w:sizeAuto/>
                    <w:default w:val="0"/>
                  </w:checkBox>
                </w:ffData>
              </w:fldChar>
            </w:r>
            <w:r>
              <w:rPr>
                <w:rFonts w:ascii="Arial" w:eastAsia="Calibri" w:hAnsi="Arial" w:cs="Arial"/>
                <w:sz w:val="24"/>
                <w:szCs w:val="24"/>
                <w:lang w:eastAsia="en-GB"/>
              </w:rPr>
              <w:instrText xml:space="preserve"> FORMCHECKBOX </w:instrText>
            </w:r>
            <w:r w:rsidR="00000000">
              <w:rPr>
                <w:rFonts w:ascii="Arial" w:eastAsia="Calibri" w:hAnsi="Arial" w:cs="Arial"/>
                <w:sz w:val="24"/>
                <w:szCs w:val="24"/>
                <w:lang w:eastAsia="en-GB"/>
              </w:rPr>
            </w:r>
            <w:r w:rsidR="00000000">
              <w:rPr>
                <w:rFonts w:ascii="Arial" w:eastAsia="Calibri" w:hAnsi="Arial" w:cs="Arial"/>
                <w:sz w:val="24"/>
                <w:szCs w:val="24"/>
                <w:lang w:eastAsia="en-GB"/>
              </w:rPr>
              <w:fldChar w:fldCharType="separate"/>
            </w:r>
            <w:r>
              <w:rPr>
                <w:rFonts w:ascii="Arial" w:eastAsia="Calibri" w:hAnsi="Arial" w:cs="Arial"/>
                <w:sz w:val="24"/>
                <w:szCs w:val="24"/>
                <w:lang w:eastAsia="en-GB"/>
              </w:rPr>
              <w:fldChar w:fldCharType="end"/>
            </w:r>
          </w:p>
        </w:tc>
        <w:tc>
          <w:tcPr>
            <w:tcW w:w="1709" w:type="dxa"/>
            <w:tcBorders>
              <w:top w:val="single" w:sz="4" w:space="0" w:color="auto"/>
              <w:left w:val="single" w:sz="4" w:space="0" w:color="auto"/>
              <w:bottom w:val="single" w:sz="4" w:space="0" w:color="auto"/>
              <w:right w:val="single" w:sz="4" w:space="0" w:color="auto"/>
            </w:tcBorders>
            <w:hideMark/>
          </w:tcPr>
          <w:p w14:paraId="56B093D2" w14:textId="77777777" w:rsidR="008B0A34" w:rsidRDefault="008B0A34" w:rsidP="008B0A34">
            <w:pPr>
              <w:rPr>
                <w:rFonts w:ascii="Arial" w:hAnsi="Arial" w:cs="Arial"/>
                <w:color w:val="000000" w:themeColor="text1"/>
              </w:rPr>
            </w:pPr>
            <w:r>
              <w:rPr>
                <w:rFonts w:ascii="Arial" w:eastAsia="Cambria" w:hAnsi="Arial" w:cs="Arial"/>
                <w:b/>
                <w:sz w:val="20"/>
                <w:szCs w:val="20"/>
              </w:rPr>
              <w:t>2. To support an engaged, healthy and resilient workforce</w:t>
            </w:r>
          </w:p>
        </w:tc>
        <w:tc>
          <w:tcPr>
            <w:tcW w:w="504" w:type="dxa"/>
            <w:gridSpan w:val="2"/>
            <w:tcBorders>
              <w:top w:val="single" w:sz="4" w:space="0" w:color="auto"/>
              <w:left w:val="single" w:sz="4" w:space="0" w:color="auto"/>
              <w:bottom w:val="single" w:sz="4" w:space="0" w:color="auto"/>
              <w:right w:val="single" w:sz="4" w:space="0" w:color="auto"/>
            </w:tcBorders>
          </w:tcPr>
          <w:p w14:paraId="4F23CB09" w14:textId="77777777" w:rsidR="008B0A34" w:rsidRDefault="008B0A34" w:rsidP="008B0A34">
            <w:pPr>
              <w:rPr>
                <w:rFonts w:ascii="Arial" w:hAnsi="Arial" w:cs="Arial"/>
                <w:color w:val="000000" w:themeColor="text1"/>
              </w:rPr>
            </w:pPr>
          </w:p>
          <w:p w14:paraId="2B30F9C1" w14:textId="77777777" w:rsidR="008B0A34" w:rsidRDefault="008B0A34" w:rsidP="008B0A34">
            <w:pPr>
              <w:rPr>
                <w:rFonts w:ascii="Arial" w:hAnsi="Arial" w:cs="Arial"/>
                <w:color w:val="000000" w:themeColor="text1"/>
              </w:rPr>
            </w:pPr>
            <w:r>
              <w:rPr>
                <w:rFonts w:ascii="Arial" w:eastAsia="Calibri" w:hAnsi="Arial" w:cs="Arial"/>
                <w:sz w:val="24"/>
                <w:szCs w:val="24"/>
                <w:lang w:eastAsia="en-GB"/>
              </w:rPr>
              <w:fldChar w:fldCharType="begin">
                <w:ffData>
                  <w:name w:val=""/>
                  <w:enabled/>
                  <w:calcOnExit w:val="0"/>
                  <w:checkBox>
                    <w:sizeAuto/>
                    <w:default w:val="0"/>
                  </w:checkBox>
                </w:ffData>
              </w:fldChar>
            </w:r>
            <w:r>
              <w:rPr>
                <w:rFonts w:ascii="Arial" w:eastAsia="Calibri" w:hAnsi="Arial" w:cs="Arial"/>
                <w:sz w:val="24"/>
                <w:szCs w:val="24"/>
                <w:lang w:eastAsia="en-GB"/>
              </w:rPr>
              <w:instrText xml:space="preserve"> FORMCHECKBOX </w:instrText>
            </w:r>
            <w:r w:rsidR="00000000">
              <w:rPr>
                <w:rFonts w:ascii="Arial" w:eastAsia="Calibri" w:hAnsi="Arial" w:cs="Arial"/>
                <w:sz w:val="24"/>
                <w:szCs w:val="24"/>
                <w:lang w:eastAsia="en-GB"/>
              </w:rPr>
            </w:r>
            <w:r w:rsidR="00000000">
              <w:rPr>
                <w:rFonts w:ascii="Arial" w:eastAsia="Calibri" w:hAnsi="Arial" w:cs="Arial"/>
                <w:sz w:val="24"/>
                <w:szCs w:val="24"/>
                <w:lang w:eastAsia="en-GB"/>
              </w:rPr>
              <w:fldChar w:fldCharType="separate"/>
            </w:r>
            <w:r>
              <w:rPr>
                <w:rFonts w:ascii="Arial" w:eastAsia="Calibri" w:hAnsi="Arial" w:cs="Arial"/>
                <w:sz w:val="24"/>
                <w:szCs w:val="24"/>
                <w:lang w:eastAsia="en-GB"/>
              </w:rPr>
              <w:fldChar w:fldCharType="end"/>
            </w:r>
          </w:p>
        </w:tc>
        <w:tc>
          <w:tcPr>
            <w:tcW w:w="2749" w:type="dxa"/>
            <w:gridSpan w:val="3"/>
            <w:tcBorders>
              <w:top w:val="single" w:sz="4" w:space="0" w:color="auto"/>
              <w:left w:val="single" w:sz="4" w:space="0" w:color="auto"/>
              <w:bottom w:val="single" w:sz="4" w:space="0" w:color="auto"/>
              <w:right w:val="single" w:sz="4" w:space="0" w:color="auto"/>
            </w:tcBorders>
            <w:hideMark/>
          </w:tcPr>
          <w:p w14:paraId="10EA20A8" w14:textId="77777777" w:rsidR="008B0A34" w:rsidRDefault="008B0A34" w:rsidP="008B0A34">
            <w:pPr>
              <w:rPr>
                <w:rFonts w:ascii="Arial" w:hAnsi="Arial" w:cs="Arial"/>
                <w:color w:val="000000" w:themeColor="text1"/>
              </w:rPr>
            </w:pPr>
            <w:r>
              <w:rPr>
                <w:rFonts w:ascii="Arial" w:eastAsia="Cambria" w:hAnsi="Arial" w:cs="Arial"/>
                <w:b/>
                <w:sz w:val="20"/>
                <w:szCs w:val="20"/>
              </w:rPr>
              <w:t>3. To ensure financial sustainability</w:t>
            </w:r>
          </w:p>
        </w:tc>
        <w:tc>
          <w:tcPr>
            <w:tcW w:w="1340" w:type="dxa"/>
            <w:tcBorders>
              <w:top w:val="single" w:sz="4" w:space="0" w:color="auto"/>
              <w:left w:val="single" w:sz="4" w:space="0" w:color="auto"/>
              <w:bottom w:val="single" w:sz="4" w:space="0" w:color="auto"/>
              <w:right w:val="single" w:sz="4" w:space="0" w:color="auto"/>
            </w:tcBorders>
          </w:tcPr>
          <w:p w14:paraId="00F381B6" w14:textId="2F78ED90" w:rsidR="008B0A34" w:rsidRDefault="008B0A34" w:rsidP="008B0A34">
            <w:pPr>
              <w:rPr>
                <w:rFonts w:ascii="Arial" w:hAnsi="Arial" w:cs="Arial"/>
                <w:color w:val="000000" w:themeColor="text1"/>
              </w:rPr>
            </w:pPr>
            <w:r>
              <w:rPr>
                <w:rFonts w:ascii="Arial" w:hAnsi="Arial" w:cs="Arial"/>
                <w:color w:val="000000" w:themeColor="text1"/>
              </w:rPr>
              <w:t>x</w:t>
            </w:r>
          </w:p>
          <w:p w14:paraId="18C3CAD5" w14:textId="77777777" w:rsidR="008B0A34" w:rsidRDefault="008B0A34" w:rsidP="008B0A34">
            <w:pPr>
              <w:rPr>
                <w:rFonts w:ascii="Arial" w:hAnsi="Arial" w:cs="Arial"/>
                <w:color w:val="000000" w:themeColor="text1"/>
              </w:rPr>
            </w:pPr>
            <w:r>
              <w:rPr>
                <w:rFonts w:ascii="Arial" w:eastAsia="Calibri" w:hAnsi="Arial" w:cs="Arial"/>
                <w:sz w:val="24"/>
                <w:szCs w:val="24"/>
                <w:lang w:eastAsia="en-GB"/>
              </w:rPr>
              <w:fldChar w:fldCharType="begin">
                <w:ffData>
                  <w:name w:val=""/>
                  <w:enabled/>
                  <w:calcOnExit w:val="0"/>
                  <w:checkBox>
                    <w:sizeAuto/>
                    <w:default w:val="0"/>
                  </w:checkBox>
                </w:ffData>
              </w:fldChar>
            </w:r>
            <w:r>
              <w:rPr>
                <w:rFonts w:ascii="Arial" w:eastAsia="Calibri" w:hAnsi="Arial" w:cs="Arial"/>
                <w:sz w:val="24"/>
                <w:szCs w:val="24"/>
                <w:lang w:eastAsia="en-GB"/>
              </w:rPr>
              <w:instrText xml:space="preserve"> FORMCHECKBOX </w:instrText>
            </w:r>
            <w:r w:rsidR="00000000">
              <w:rPr>
                <w:rFonts w:ascii="Arial" w:eastAsia="Calibri" w:hAnsi="Arial" w:cs="Arial"/>
                <w:sz w:val="24"/>
                <w:szCs w:val="24"/>
                <w:lang w:eastAsia="en-GB"/>
              </w:rPr>
            </w:r>
            <w:r w:rsidR="00000000">
              <w:rPr>
                <w:rFonts w:ascii="Arial" w:eastAsia="Calibri" w:hAnsi="Arial" w:cs="Arial"/>
                <w:sz w:val="24"/>
                <w:szCs w:val="24"/>
                <w:lang w:eastAsia="en-GB"/>
              </w:rPr>
              <w:fldChar w:fldCharType="separate"/>
            </w:r>
            <w:r>
              <w:rPr>
                <w:rFonts w:ascii="Arial" w:eastAsia="Calibri" w:hAnsi="Arial" w:cs="Arial"/>
                <w:sz w:val="24"/>
                <w:szCs w:val="24"/>
                <w:lang w:eastAsia="en-GB"/>
              </w:rPr>
              <w:fldChar w:fldCharType="end"/>
            </w:r>
          </w:p>
        </w:tc>
      </w:tr>
      <w:tr w:rsidR="00BC39C3" w14:paraId="0E0DE1C3" w14:textId="77777777" w:rsidTr="00A15624">
        <w:trPr>
          <w:trHeight w:val="255"/>
        </w:trPr>
        <w:tc>
          <w:tcPr>
            <w:tcW w:w="2461" w:type="dxa"/>
            <w:gridSpan w:val="2"/>
            <w:vMerge w:val="restart"/>
            <w:tcBorders>
              <w:top w:val="single" w:sz="4" w:space="0" w:color="auto"/>
              <w:left w:val="single" w:sz="4" w:space="0" w:color="auto"/>
              <w:right w:val="single" w:sz="4" w:space="0" w:color="auto"/>
            </w:tcBorders>
          </w:tcPr>
          <w:p w14:paraId="4F3F5CE2" w14:textId="3834459C" w:rsidR="008B0A34" w:rsidRDefault="008B0A34" w:rsidP="008B0A34">
            <w:pPr>
              <w:rPr>
                <w:rFonts w:ascii="Arial" w:hAnsi="Arial" w:cs="Arial"/>
                <w:b/>
                <w:color w:val="000000" w:themeColor="text1"/>
              </w:rPr>
            </w:pPr>
          </w:p>
        </w:tc>
        <w:tc>
          <w:tcPr>
            <w:tcW w:w="6119" w:type="dxa"/>
            <w:gridSpan w:val="3"/>
            <w:tcBorders>
              <w:top w:val="single" w:sz="4" w:space="0" w:color="auto"/>
              <w:left w:val="single" w:sz="4" w:space="0" w:color="auto"/>
              <w:bottom w:val="single" w:sz="4" w:space="0" w:color="auto"/>
              <w:right w:val="single" w:sz="4" w:space="0" w:color="auto"/>
            </w:tcBorders>
          </w:tcPr>
          <w:p w14:paraId="4CDB38E2" w14:textId="77777777" w:rsidR="008B0A34" w:rsidRDefault="008B0A34" w:rsidP="008B0A34">
            <w:pPr>
              <w:rPr>
                <w:rFonts w:ascii="Arial" w:eastAsia="Cambria" w:hAnsi="Arial" w:cs="Arial"/>
                <w:b/>
                <w:sz w:val="20"/>
                <w:szCs w:val="20"/>
              </w:rPr>
            </w:pPr>
          </w:p>
          <w:p w14:paraId="1122121E" w14:textId="77777777" w:rsidR="008B0A34" w:rsidRDefault="008B0A34" w:rsidP="008B0A34">
            <w:pPr>
              <w:rPr>
                <w:rFonts w:ascii="Arial" w:eastAsia="Cambria" w:hAnsi="Arial" w:cs="Arial"/>
                <w:b/>
                <w:sz w:val="20"/>
                <w:szCs w:val="20"/>
              </w:rPr>
            </w:pPr>
            <w:r>
              <w:rPr>
                <w:rFonts w:ascii="Arial" w:eastAsia="Cambria" w:hAnsi="Arial" w:cs="Arial"/>
                <w:b/>
                <w:sz w:val="20"/>
                <w:szCs w:val="20"/>
              </w:rPr>
              <w:t>PR1 - Quality Standards</w:t>
            </w:r>
          </w:p>
          <w:p w14:paraId="631DBE78" w14:textId="77777777" w:rsidR="008B0A34" w:rsidRDefault="008B0A34" w:rsidP="008B0A34">
            <w:pPr>
              <w:rPr>
                <w:rFonts w:ascii="Arial" w:eastAsia="Cambria" w:hAnsi="Arial" w:cs="Arial"/>
                <w:b/>
                <w:sz w:val="20"/>
                <w:szCs w:val="20"/>
              </w:rPr>
            </w:pPr>
          </w:p>
        </w:tc>
        <w:tc>
          <w:tcPr>
            <w:tcW w:w="506" w:type="dxa"/>
            <w:tcBorders>
              <w:top w:val="single" w:sz="4" w:space="0" w:color="auto"/>
              <w:left w:val="single" w:sz="4" w:space="0" w:color="auto"/>
              <w:bottom w:val="single" w:sz="4" w:space="0" w:color="auto"/>
              <w:right w:val="single" w:sz="4" w:space="0" w:color="auto"/>
            </w:tcBorders>
          </w:tcPr>
          <w:p w14:paraId="0720FCEE" w14:textId="77777777" w:rsidR="008B0A34" w:rsidRDefault="008B0A34" w:rsidP="008B0A34">
            <w:pPr>
              <w:rPr>
                <w:rFonts w:ascii="Arial" w:eastAsia="Calibri" w:hAnsi="Arial" w:cs="Arial"/>
                <w:sz w:val="24"/>
                <w:szCs w:val="24"/>
                <w:lang w:eastAsia="en-GB"/>
              </w:rPr>
            </w:pPr>
          </w:p>
          <w:p w14:paraId="1793E931" w14:textId="77777777" w:rsidR="008B0A34" w:rsidRDefault="008B0A34" w:rsidP="008B0A34">
            <w:pPr>
              <w:rPr>
                <w:rFonts w:ascii="Arial" w:hAnsi="Arial" w:cs="Arial"/>
                <w:color w:val="000000" w:themeColor="text1"/>
              </w:rPr>
            </w:pPr>
            <w:r>
              <w:rPr>
                <w:rFonts w:ascii="Arial" w:eastAsia="Calibri" w:hAnsi="Arial" w:cs="Arial"/>
                <w:sz w:val="24"/>
                <w:szCs w:val="24"/>
                <w:lang w:eastAsia="en-GB"/>
              </w:rPr>
              <w:fldChar w:fldCharType="begin">
                <w:ffData>
                  <w:name w:val=""/>
                  <w:enabled/>
                  <w:calcOnExit w:val="0"/>
                  <w:checkBox>
                    <w:sizeAuto/>
                    <w:default w:val="0"/>
                  </w:checkBox>
                </w:ffData>
              </w:fldChar>
            </w:r>
            <w:r>
              <w:rPr>
                <w:rFonts w:ascii="Arial" w:eastAsia="Calibri" w:hAnsi="Arial" w:cs="Arial"/>
                <w:sz w:val="24"/>
                <w:szCs w:val="24"/>
                <w:lang w:eastAsia="en-GB"/>
              </w:rPr>
              <w:instrText xml:space="preserve"> FORMCHECKBOX </w:instrText>
            </w:r>
            <w:r w:rsidR="00000000">
              <w:rPr>
                <w:rFonts w:ascii="Arial" w:eastAsia="Calibri" w:hAnsi="Arial" w:cs="Arial"/>
                <w:sz w:val="24"/>
                <w:szCs w:val="24"/>
                <w:lang w:eastAsia="en-GB"/>
              </w:rPr>
            </w:r>
            <w:r w:rsidR="00000000">
              <w:rPr>
                <w:rFonts w:ascii="Arial" w:eastAsia="Calibri" w:hAnsi="Arial" w:cs="Arial"/>
                <w:sz w:val="24"/>
                <w:szCs w:val="24"/>
                <w:lang w:eastAsia="en-GB"/>
              </w:rPr>
              <w:fldChar w:fldCharType="separate"/>
            </w:r>
            <w:r>
              <w:rPr>
                <w:rFonts w:ascii="Arial" w:eastAsia="Calibri" w:hAnsi="Arial" w:cs="Arial"/>
                <w:sz w:val="24"/>
                <w:szCs w:val="24"/>
                <w:lang w:eastAsia="en-GB"/>
              </w:rPr>
              <w:fldChar w:fldCharType="end"/>
            </w:r>
          </w:p>
        </w:tc>
        <w:tc>
          <w:tcPr>
            <w:tcW w:w="1709" w:type="dxa"/>
            <w:tcBorders>
              <w:top w:val="single" w:sz="4" w:space="0" w:color="auto"/>
              <w:left w:val="single" w:sz="4" w:space="0" w:color="auto"/>
              <w:bottom w:val="single" w:sz="4" w:space="0" w:color="auto"/>
              <w:right w:val="single" w:sz="4" w:space="0" w:color="auto"/>
            </w:tcBorders>
          </w:tcPr>
          <w:p w14:paraId="2065AF28" w14:textId="77777777" w:rsidR="008B0A34" w:rsidRDefault="008B0A34" w:rsidP="008B0A34">
            <w:pPr>
              <w:rPr>
                <w:rFonts w:ascii="Arial" w:eastAsia="Cambria" w:hAnsi="Arial" w:cs="Arial"/>
                <w:b/>
                <w:sz w:val="20"/>
                <w:szCs w:val="20"/>
              </w:rPr>
            </w:pPr>
          </w:p>
          <w:p w14:paraId="77FD4767" w14:textId="77777777" w:rsidR="008B0A34" w:rsidRDefault="008B0A34" w:rsidP="008B0A34">
            <w:pPr>
              <w:rPr>
                <w:rFonts w:ascii="Arial" w:eastAsia="Cambria" w:hAnsi="Arial" w:cs="Arial"/>
                <w:b/>
                <w:sz w:val="20"/>
                <w:szCs w:val="20"/>
              </w:rPr>
            </w:pPr>
            <w:r>
              <w:rPr>
                <w:rFonts w:ascii="Arial" w:eastAsia="Cambria" w:hAnsi="Arial" w:cs="Arial"/>
                <w:b/>
                <w:sz w:val="20"/>
                <w:szCs w:val="20"/>
              </w:rPr>
              <w:t>PR2 - Safety Standards</w:t>
            </w:r>
          </w:p>
        </w:tc>
        <w:tc>
          <w:tcPr>
            <w:tcW w:w="504" w:type="dxa"/>
            <w:gridSpan w:val="2"/>
            <w:tcBorders>
              <w:top w:val="single" w:sz="4" w:space="0" w:color="auto"/>
              <w:left w:val="single" w:sz="4" w:space="0" w:color="auto"/>
              <w:bottom w:val="single" w:sz="4" w:space="0" w:color="auto"/>
              <w:right w:val="single" w:sz="4" w:space="0" w:color="auto"/>
            </w:tcBorders>
          </w:tcPr>
          <w:p w14:paraId="4AA92B42" w14:textId="77777777" w:rsidR="008B0A34" w:rsidRDefault="008B0A34" w:rsidP="008B0A34">
            <w:pPr>
              <w:rPr>
                <w:rFonts w:ascii="Arial" w:eastAsia="Calibri" w:hAnsi="Arial" w:cs="Arial"/>
                <w:sz w:val="24"/>
                <w:szCs w:val="24"/>
                <w:lang w:eastAsia="en-GB"/>
              </w:rPr>
            </w:pPr>
          </w:p>
          <w:p w14:paraId="56ED7218" w14:textId="77777777" w:rsidR="008B0A34" w:rsidRDefault="008B0A34" w:rsidP="008B0A34">
            <w:pPr>
              <w:rPr>
                <w:rFonts w:ascii="Arial" w:hAnsi="Arial" w:cs="Arial"/>
                <w:color w:val="000000" w:themeColor="text1"/>
              </w:rPr>
            </w:pPr>
            <w:r>
              <w:rPr>
                <w:rFonts w:ascii="Arial" w:eastAsia="Calibri" w:hAnsi="Arial" w:cs="Arial"/>
                <w:sz w:val="24"/>
                <w:szCs w:val="24"/>
                <w:lang w:eastAsia="en-GB"/>
              </w:rPr>
              <w:fldChar w:fldCharType="begin">
                <w:ffData>
                  <w:name w:val=""/>
                  <w:enabled/>
                  <w:calcOnExit w:val="0"/>
                  <w:checkBox>
                    <w:sizeAuto/>
                    <w:default w:val="0"/>
                  </w:checkBox>
                </w:ffData>
              </w:fldChar>
            </w:r>
            <w:r>
              <w:rPr>
                <w:rFonts w:ascii="Arial" w:eastAsia="Calibri" w:hAnsi="Arial" w:cs="Arial"/>
                <w:sz w:val="24"/>
                <w:szCs w:val="24"/>
                <w:lang w:eastAsia="en-GB"/>
              </w:rPr>
              <w:instrText xml:space="preserve"> FORMCHECKBOX </w:instrText>
            </w:r>
            <w:r w:rsidR="00000000">
              <w:rPr>
                <w:rFonts w:ascii="Arial" w:eastAsia="Calibri" w:hAnsi="Arial" w:cs="Arial"/>
                <w:sz w:val="24"/>
                <w:szCs w:val="24"/>
                <w:lang w:eastAsia="en-GB"/>
              </w:rPr>
            </w:r>
            <w:r w:rsidR="00000000">
              <w:rPr>
                <w:rFonts w:ascii="Arial" w:eastAsia="Calibri" w:hAnsi="Arial" w:cs="Arial"/>
                <w:sz w:val="24"/>
                <w:szCs w:val="24"/>
                <w:lang w:eastAsia="en-GB"/>
              </w:rPr>
              <w:fldChar w:fldCharType="separate"/>
            </w:r>
            <w:r>
              <w:rPr>
                <w:rFonts w:ascii="Arial" w:eastAsia="Calibri" w:hAnsi="Arial" w:cs="Arial"/>
                <w:sz w:val="24"/>
                <w:szCs w:val="24"/>
                <w:lang w:eastAsia="en-GB"/>
              </w:rPr>
              <w:fldChar w:fldCharType="end"/>
            </w:r>
          </w:p>
        </w:tc>
        <w:tc>
          <w:tcPr>
            <w:tcW w:w="2749" w:type="dxa"/>
            <w:gridSpan w:val="3"/>
            <w:tcBorders>
              <w:top w:val="single" w:sz="4" w:space="0" w:color="auto"/>
              <w:left w:val="single" w:sz="4" w:space="0" w:color="auto"/>
              <w:bottom w:val="single" w:sz="4" w:space="0" w:color="auto"/>
              <w:right w:val="single" w:sz="4" w:space="0" w:color="auto"/>
            </w:tcBorders>
          </w:tcPr>
          <w:p w14:paraId="6E3EEADE" w14:textId="77777777" w:rsidR="008B0A34" w:rsidRDefault="008B0A34" w:rsidP="008B0A34">
            <w:pPr>
              <w:rPr>
                <w:rFonts w:ascii="Arial" w:eastAsia="Cambria" w:hAnsi="Arial" w:cs="Arial"/>
                <w:b/>
                <w:sz w:val="20"/>
                <w:szCs w:val="20"/>
              </w:rPr>
            </w:pPr>
          </w:p>
          <w:p w14:paraId="7EC532EB" w14:textId="77777777" w:rsidR="008B0A34" w:rsidRDefault="008B0A34" w:rsidP="008B0A34">
            <w:pPr>
              <w:rPr>
                <w:rFonts w:ascii="Arial" w:eastAsia="Cambria" w:hAnsi="Arial" w:cs="Arial"/>
                <w:b/>
                <w:sz w:val="20"/>
                <w:szCs w:val="20"/>
              </w:rPr>
            </w:pPr>
            <w:r>
              <w:rPr>
                <w:rFonts w:ascii="Arial" w:eastAsia="Cambria" w:hAnsi="Arial" w:cs="Arial"/>
                <w:b/>
                <w:sz w:val="20"/>
                <w:szCs w:val="20"/>
              </w:rPr>
              <w:t>PR3 - Performance Targets</w:t>
            </w:r>
          </w:p>
        </w:tc>
        <w:tc>
          <w:tcPr>
            <w:tcW w:w="1340" w:type="dxa"/>
            <w:tcBorders>
              <w:top w:val="single" w:sz="4" w:space="0" w:color="auto"/>
              <w:left w:val="single" w:sz="4" w:space="0" w:color="auto"/>
              <w:bottom w:val="single" w:sz="4" w:space="0" w:color="auto"/>
              <w:right w:val="single" w:sz="4" w:space="0" w:color="auto"/>
            </w:tcBorders>
          </w:tcPr>
          <w:p w14:paraId="6E3F4D57" w14:textId="43D90C44" w:rsidR="008B0A34" w:rsidRDefault="008B0A34" w:rsidP="008B0A34">
            <w:pPr>
              <w:rPr>
                <w:rFonts w:ascii="Arial" w:eastAsia="Calibri" w:hAnsi="Arial" w:cs="Arial"/>
                <w:sz w:val="24"/>
                <w:szCs w:val="24"/>
                <w:lang w:eastAsia="en-GB"/>
              </w:rPr>
            </w:pPr>
            <w:r>
              <w:rPr>
                <w:rFonts w:ascii="Arial" w:eastAsia="Calibri" w:hAnsi="Arial" w:cs="Arial"/>
                <w:sz w:val="24"/>
                <w:szCs w:val="24"/>
                <w:lang w:eastAsia="en-GB"/>
              </w:rPr>
              <w:t>x</w:t>
            </w:r>
          </w:p>
          <w:p w14:paraId="0D86F912" w14:textId="77777777" w:rsidR="008B0A34" w:rsidRDefault="008B0A34" w:rsidP="008B0A34">
            <w:pPr>
              <w:rPr>
                <w:rFonts w:ascii="Arial" w:hAnsi="Arial" w:cs="Arial"/>
                <w:color w:val="000000" w:themeColor="text1"/>
              </w:rPr>
            </w:pPr>
            <w:r>
              <w:rPr>
                <w:rFonts w:ascii="Arial" w:eastAsia="Calibri" w:hAnsi="Arial" w:cs="Arial"/>
                <w:sz w:val="24"/>
                <w:szCs w:val="24"/>
                <w:lang w:eastAsia="en-GB"/>
              </w:rPr>
              <w:fldChar w:fldCharType="begin">
                <w:ffData>
                  <w:name w:val=""/>
                  <w:enabled/>
                  <w:calcOnExit w:val="0"/>
                  <w:checkBox>
                    <w:sizeAuto/>
                    <w:default w:val="0"/>
                  </w:checkBox>
                </w:ffData>
              </w:fldChar>
            </w:r>
            <w:r>
              <w:rPr>
                <w:rFonts w:ascii="Arial" w:eastAsia="Calibri" w:hAnsi="Arial" w:cs="Arial"/>
                <w:sz w:val="24"/>
                <w:szCs w:val="24"/>
                <w:lang w:eastAsia="en-GB"/>
              </w:rPr>
              <w:instrText xml:space="preserve"> FORMCHECKBOX </w:instrText>
            </w:r>
            <w:r w:rsidR="00000000">
              <w:rPr>
                <w:rFonts w:ascii="Arial" w:eastAsia="Calibri" w:hAnsi="Arial" w:cs="Arial"/>
                <w:sz w:val="24"/>
                <w:szCs w:val="24"/>
                <w:lang w:eastAsia="en-GB"/>
              </w:rPr>
            </w:r>
            <w:r w:rsidR="00000000">
              <w:rPr>
                <w:rFonts w:ascii="Arial" w:eastAsia="Calibri" w:hAnsi="Arial" w:cs="Arial"/>
                <w:sz w:val="24"/>
                <w:szCs w:val="24"/>
                <w:lang w:eastAsia="en-GB"/>
              </w:rPr>
              <w:fldChar w:fldCharType="separate"/>
            </w:r>
            <w:r>
              <w:rPr>
                <w:rFonts w:ascii="Arial" w:eastAsia="Calibri" w:hAnsi="Arial" w:cs="Arial"/>
                <w:sz w:val="24"/>
                <w:szCs w:val="24"/>
                <w:lang w:eastAsia="en-GB"/>
              </w:rPr>
              <w:fldChar w:fldCharType="end"/>
            </w:r>
          </w:p>
        </w:tc>
      </w:tr>
      <w:tr w:rsidR="00BC39C3" w14:paraId="66B3CCF7" w14:textId="77777777" w:rsidTr="00A15624">
        <w:trPr>
          <w:trHeight w:val="255"/>
        </w:trPr>
        <w:tc>
          <w:tcPr>
            <w:tcW w:w="2461" w:type="dxa"/>
            <w:gridSpan w:val="2"/>
            <w:vMerge/>
            <w:tcBorders>
              <w:left w:val="single" w:sz="4" w:space="0" w:color="auto"/>
              <w:right w:val="single" w:sz="4" w:space="0" w:color="auto"/>
            </w:tcBorders>
          </w:tcPr>
          <w:p w14:paraId="459AAE7C" w14:textId="7018911D" w:rsidR="008B0A34" w:rsidRDefault="008B0A34" w:rsidP="008B0A34">
            <w:pPr>
              <w:rPr>
                <w:rFonts w:ascii="Arial" w:hAnsi="Arial" w:cs="Arial"/>
                <w:b/>
                <w:color w:val="000000" w:themeColor="text1"/>
              </w:rPr>
            </w:pPr>
          </w:p>
        </w:tc>
        <w:tc>
          <w:tcPr>
            <w:tcW w:w="6119" w:type="dxa"/>
            <w:gridSpan w:val="3"/>
            <w:tcBorders>
              <w:top w:val="single" w:sz="4" w:space="0" w:color="auto"/>
              <w:left w:val="single" w:sz="4" w:space="0" w:color="auto"/>
              <w:bottom w:val="single" w:sz="4" w:space="0" w:color="auto"/>
              <w:right w:val="single" w:sz="4" w:space="0" w:color="auto"/>
            </w:tcBorders>
          </w:tcPr>
          <w:p w14:paraId="5A24B12C" w14:textId="77777777" w:rsidR="008B0A34" w:rsidRDefault="008B0A34" w:rsidP="008B0A34">
            <w:pPr>
              <w:rPr>
                <w:rFonts w:ascii="Arial" w:eastAsia="Cambria" w:hAnsi="Arial" w:cs="Arial"/>
                <w:b/>
                <w:sz w:val="20"/>
                <w:szCs w:val="20"/>
              </w:rPr>
            </w:pPr>
          </w:p>
          <w:p w14:paraId="4CADD4ED" w14:textId="77777777" w:rsidR="008B0A34" w:rsidRDefault="008B0A34" w:rsidP="008B0A34">
            <w:pPr>
              <w:rPr>
                <w:rFonts w:ascii="Arial" w:eastAsia="Cambria" w:hAnsi="Arial" w:cs="Arial"/>
                <w:b/>
                <w:sz w:val="20"/>
                <w:szCs w:val="20"/>
              </w:rPr>
            </w:pPr>
            <w:r>
              <w:rPr>
                <w:rFonts w:ascii="Arial" w:eastAsia="Cambria" w:hAnsi="Arial" w:cs="Arial"/>
                <w:b/>
                <w:sz w:val="20"/>
                <w:szCs w:val="20"/>
              </w:rPr>
              <w:t>PR4 - Workforce</w:t>
            </w:r>
          </w:p>
          <w:p w14:paraId="43CE702C" w14:textId="77777777" w:rsidR="008B0A34" w:rsidRDefault="008B0A34" w:rsidP="008B0A34">
            <w:pPr>
              <w:rPr>
                <w:rFonts w:ascii="Arial" w:eastAsia="Cambria" w:hAnsi="Arial" w:cs="Arial"/>
                <w:b/>
                <w:sz w:val="20"/>
                <w:szCs w:val="20"/>
              </w:rPr>
            </w:pPr>
          </w:p>
        </w:tc>
        <w:tc>
          <w:tcPr>
            <w:tcW w:w="506" w:type="dxa"/>
            <w:tcBorders>
              <w:top w:val="single" w:sz="4" w:space="0" w:color="auto"/>
              <w:left w:val="single" w:sz="4" w:space="0" w:color="auto"/>
              <w:bottom w:val="single" w:sz="4" w:space="0" w:color="auto"/>
              <w:right w:val="single" w:sz="4" w:space="0" w:color="auto"/>
            </w:tcBorders>
          </w:tcPr>
          <w:p w14:paraId="61B22D49" w14:textId="77777777" w:rsidR="008B0A34" w:rsidRDefault="008B0A34" w:rsidP="008B0A34">
            <w:pPr>
              <w:rPr>
                <w:rFonts w:ascii="Arial" w:eastAsia="Calibri" w:hAnsi="Arial" w:cs="Arial"/>
                <w:sz w:val="24"/>
                <w:szCs w:val="24"/>
                <w:lang w:eastAsia="en-GB"/>
              </w:rPr>
            </w:pPr>
          </w:p>
          <w:p w14:paraId="0B80398A" w14:textId="6D8FE1DF" w:rsidR="008B0A34" w:rsidRDefault="008B0A34" w:rsidP="008B0A34">
            <w:pPr>
              <w:rPr>
                <w:rFonts w:ascii="Arial" w:hAnsi="Arial" w:cs="Arial"/>
                <w:color w:val="000000" w:themeColor="text1"/>
              </w:rPr>
            </w:pPr>
            <w:r>
              <w:rPr>
                <w:rFonts w:ascii="Arial" w:eastAsia="Calibri" w:hAnsi="Arial" w:cs="Arial"/>
                <w:sz w:val="24"/>
                <w:szCs w:val="24"/>
                <w:lang w:eastAsia="en-GB"/>
              </w:rPr>
              <w:fldChar w:fldCharType="begin">
                <w:ffData>
                  <w:name w:val=""/>
                  <w:enabled/>
                  <w:calcOnExit w:val="0"/>
                  <w:checkBox>
                    <w:sizeAuto/>
                    <w:default w:val="0"/>
                  </w:checkBox>
                </w:ffData>
              </w:fldChar>
            </w:r>
            <w:r>
              <w:rPr>
                <w:rFonts w:ascii="Arial" w:eastAsia="Calibri" w:hAnsi="Arial" w:cs="Arial"/>
                <w:sz w:val="24"/>
                <w:szCs w:val="24"/>
                <w:lang w:eastAsia="en-GB"/>
              </w:rPr>
              <w:instrText xml:space="preserve"> FORMCHECKBOX </w:instrText>
            </w:r>
            <w:r w:rsidR="00000000">
              <w:rPr>
                <w:rFonts w:ascii="Arial" w:eastAsia="Calibri" w:hAnsi="Arial" w:cs="Arial"/>
                <w:sz w:val="24"/>
                <w:szCs w:val="24"/>
                <w:lang w:eastAsia="en-GB"/>
              </w:rPr>
            </w:r>
            <w:r w:rsidR="00000000">
              <w:rPr>
                <w:rFonts w:ascii="Arial" w:eastAsia="Calibri" w:hAnsi="Arial" w:cs="Arial"/>
                <w:sz w:val="24"/>
                <w:szCs w:val="24"/>
                <w:lang w:eastAsia="en-GB"/>
              </w:rPr>
              <w:fldChar w:fldCharType="separate"/>
            </w:r>
            <w:r>
              <w:rPr>
                <w:rFonts w:ascii="Arial" w:eastAsia="Calibri" w:hAnsi="Arial" w:cs="Arial"/>
                <w:sz w:val="24"/>
                <w:szCs w:val="24"/>
                <w:lang w:eastAsia="en-GB"/>
              </w:rPr>
              <w:fldChar w:fldCharType="end"/>
            </w:r>
          </w:p>
        </w:tc>
        <w:tc>
          <w:tcPr>
            <w:tcW w:w="1709" w:type="dxa"/>
            <w:tcBorders>
              <w:top w:val="single" w:sz="4" w:space="0" w:color="auto"/>
              <w:left w:val="single" w:sz="4" w:space="0" w:color="auto"/>
              <w:bottom w:val="single" w:sz="4" w:space="0" w:color="auto"/>
              <w:right w:val="single" w:sz="4" w:space="0" w:color="auto"/>
            </w:tcBorders>
          </w:tcPr>
          <w:p w14:paraId="512C2BD0" w14:textId="77777777" w:rsidR="008B0A34" w:rsidRDefault="008B0A34" w:rsidP="008B0A34">
            <w:pPr>
              <w:rPr>
                <w:rFonts w:ascii="Arial" w:eastAsia="Cambria" w:hAnsi="Arial" w:cs="Arial"/>
                <w:b/>
                <w:sz w:val="20"/>
                <w:szCs w:val="20"/>
              </w:rPr>
            </w:pPr>
          </w:p>
          <w:p w14:paraId="2699ABBF" w14:textId="77777777" w:rsidR="008B0A34" w:rsidRDefault="008B0A34" w:rsidP="008B0A34">
            <w:pPr>
              <w:rPr>
                <w:rFonts w:ascii="Arial" w:eastAsia="Cambria" w:hAnsi="Arial" w:cs="Arial"/>
                <w:b/>
                <w:sz w:val="20"/>
                <w:szCs w:val="20"/>
              </w:rPr>
            </w:pPr>
            <w:r>
              <w:rPr>
                <w:rFonts w:ascii="Arial" w:eastAsia="Cambria" w:hAnsi="Arial" w:cs="Arial"/>
                <w:b/>
                <w:sz w:val="20"/>
                <w:szCs w:val="20"/>
              </w:rPr>
              <w:t>PR5 - Inadequate Funding</w:t>
            </w:r>
          </w:p>
        </w:tc>
        <w:tc>
          <w:tcPr>
            <w:tcW w:w="504" w:type="dxa"/>
            <w:gridSpan w:val="2"/>
            <w:tcBorders>
              <w:top w:val="single" w:sz="4" w:space="0" w:color="auto"/>
              <w:left w:val="single" w:sz="4" w:space="0" w:color="auto"/>
              <w:bottom w:val="single" w:sz="4" w:space="0" w:color="auto"/>
              <w:right w:val="single" w:sz="4" w:space="0" w:color="auto"/>
            </w:tcBorders>
          </w:tcPr>
          <w:p w14:paraId="705E886A" w14:textId="77777777" w:rsidR="008B0A34" w:rsidRDefault="008B0A34" w:rsidP="008B0A34">
            <w:pPr>
              <w:rPr>
                <w:rFonts w:ascii="Arial" w:eastAsia="Calibri" w:hAnsi="Arial" w:cs="Arial"/>
                <w:sz w:val="24"/>
                <w:szCs w:val="24"/>
                <w:lang w:eastAsia="en-GB"/>
              </w:rPr>
            </w:pPr>
          </w:p>
          <w:p w14:paraId="75A43607" w14:textId="1614D8E7" w:rsidR="008B0A34" w:rsidRDefault="008B0A34" w:rsidP="008B0A34">
            <w:pPr>
              <w:rPr>
                <w:rFonts w:ascii="Arial" w:hAnsi="Arial" w:cs="Arial"/>
                <w:color w:val="000000" w:themeColor="text1"/>
              </w:rPr>
            </w:pPr>
            <w:r>
              <w:rPr>
                <w:rFonts w:ascii="Arial" w:eastAsia="Calibri" w:hAnsi="Arial" w:cs="Arial"/>
                <w:sz w:val="24"/>
                <w:szCs w:val="24"/>
                <w:lang w:eastAsia="en-GB"/>
              </w:rPr>
              <w:t>x</w:t>
            </w:r>
            <w:r>
              <w:rPr>
                <w:rFonts w:ascii="Arial" w:eastAsia="Calibri" w:hAnsi="Arial" w:cs="Arial"/>
                <w:sz w:val="24"/>
                <w:szCs w:val="24"/>
                <w:lang w:eastAsia="en-GB"/>
              </w:rPr>
              <w:fldChar w:fldCharType="begin">
                <w:ffData>
                  <w:name w:val=""/>
                  <w:enabled/>
                  <w:calcOnExit w:val="0"/>
                  <w:checkBox>
                    <w:sizeAuto/>
                    <w:default w:val="0"/>
                  </w:checkBox>
                </w:ffData>
              </w:fldChar>
            </w:r>
            <w:r>
              <w:rPr>
                <w:rFonts w:ascii="Arial" w:eastAsia="Calibri" w:hAnsi="Arial" w:cs="Arial"/>
                <w:sz w:val="24"/>
                <w:szCs w:val="24"/>
                <w:lang w:eastAsia="en-GB"/>
              </w:rPr>
              <w:instrText xml:space="preserve"> FORMCHECKBOX </w:instrText>
            </w:r>
            <w:r w:rsidR="00000000">
              <w:rPr>
                <w:rFonts w:ascii="Arial" w:eastAsia="Calibri" w:hAnsi="Arial" w:cs="Arial"/>
                <w:sz w:val="24"/>
                <w:szCs w:val="24"/>
                <w:lang w:eastAsia="en-GB"/>
              </w:rPr>
            </w:r>
            <w:r w:rsidR="00000000">
              <w:rPr>
                <w:rFonts w:ascii="Arial" w:eastAsia="Calibri" w:hAnsi="Arial" w:cs="Arial"/>
                <w:sz w:val="24"/>
                <w:szCs w:val="24"/>
                <w:lang w:eastAsia="en-GB"/>
              </w:rPr>
              <w:fldChar w:fldCharType="separate"/>
            </w:r>
            <w:r>
              <w:rPr>
                <w:rFonts w:ascii="Arial" w:eastAsia="Calibri" w:hAnsi="Arial" w:cs="Arial"/>
                <w:sz w:val="24"/>
                <w:szCs w:val="24"/>
                <w:lang w:eastAsia="en-GB"/>
              </w:rPr>
              <w:fldChar w:fldCharType="end"/>
            </w:r>
          </w:p>
        </w:tc>
        <w:tc>
          <w:tcPr>
            <w:tcW w:w="2749" w:type="dxa"/>
            <w:gridSpan w:val="3"/>
            <w:tcBorders>
              <w:top w:val="single" w:sz="4" w:space="0" w:color="auto"/>
              <w:left w:val="single" w:sz="4" w:space="0" w:color="auto"/>
              <w:bottom w:val="single" w:sz="4" w:space="0" w:color="auto"/>
              <w:right w:val="single" w:sz="4" w:space="0" w:color="auto"/>
            </w:tcBorders>
          </w:tcPr>
          <w:p w14:paraId="37B99D8F" w14:textId="77777777" w:rsidR="008B0A34" w:rsidRDefault="008B0A34" w:rsidP="008B0A34">
            <w:pPr>
              <w:rPr>
                <w:rFonts w:ascii="Arial" w:eastAsia="Cambria" w:hAnsi="Arial" w:cs="Arial"/>
                <w:b/>
                <w:sz w:val="20"/>
                <w:szCs w:val="20"/>
              </w:rPr>
            </w:pPr>
          </w:p>
          <w:p w14:paraId="66DE49E5" w14:textId="77777777" w:rsidR="008B0A34" w:rsidRDefault="008B0A34" w:rsidP="008B0A34">
            <w:pPr>
              <w:rPr>
                <w:rFonts w:ascii="Arial" w:eastAsia="Cambria" w:hAnsi="Arial" w:cs="Arial"/>
                <w:b/>
                <w:sz w:val="20"/>
                <w:szCs w:val="20"/>
              </w:rPr>
            </w:pPr>
            <w:r>
              <w:rPr>
                <w:rFonts w:ascii="Arial" w:eastAsia="Cambria" w:hAnsi="Arial" w:cs="Arial"/>
                <w:b/>
                <w:sz w:val="20"/>
                <w:szCs w:val="20"/>
              </w:rPr>
              <w:t>PR6 - IT Service Standards</w:t>
            </w:r>
          </w:p>
        </w:tc>
        <w:tc>
          <w:tcPr>
            <w:tcW w:w="1340" w:type="dxa"/>
            <w:tcBorders>
              <w:top w:val="single" w:sz="4" w:space="0" w:color="auto"/>
              <w:left w:val="single" w:sz="4" w:space="0" w:color="auto"/>
              <w:bottom w:val="single" w:sz="4" w:space="0" w:color="auto"/>
              <w:right w:val="single" w:sz="4" w:space="0" w:color="auto"/>
            </w:tcBorders>
          </w:tcPr>
          <w:p w14:paraId="78C5B2F3" w14:textId="77777777" w:rsidR="008B0A34" w:rsidRDefault="008B0A34" w:rsidP="008B0A34">
            <w:pPr>
              <w:rPr>
                <w:rFonts w:ascii="Arial" w:eastAsia="Calibri" w:hAnsi="Arial" w:cs="Arial"/>
                <w:sz w:val="24"/>
                <w:szCs w:val="24"/>
                <w:lang w:eastAsia="en-GB"/>
              </w:rPr>
            </w:pPr>
          </w:p>
          <w:p w14:paraId="536F0F89" w14:textId="38D1DF33" w:rsidR="008B0A34" w:rsidRDefault="008B0A34" w:rsidP="008B0A34">
            <w:pPr>
              <w:rPr>
                <w:rFonts w:ascii="Arial" w:hAnsi="Arial" w:cs="Arial"/>
                <w:color w:val="000000" w:themeColor="text1"/>
              </w:rPr>
            </w:pPr>
            <w:r>
              <w:rPr>
                <w:rFonts w:ascii="Arial" w:eastAsia="Calibri" w:hAnsi="Arial" w:cs="Arial"/>
                <w:sz w:val="24"/>
                <w:szCs w:val="24"/>
                <w:lang w:eastAsia="en-GB"/>
              </w:rPr>
              <w:t>x</w:t>
            </w:r>
            <w:r>
              <w:rPr>
                <w:rFonts w:ascii="Arial" w:eastAsia="Calibri" w:hAnsi="Arial" w:cs="Arial"/>
                <w:sz w:val="24"/>
                <w:szCs w:val="24"/>
                <w:lang w:eastAsia="en-GB"/>
              </w:rPr>
              <w:fldChar w:fldCharType="begin">
                <w:ffData>
                  <w:name w:val=""/>
                  <w:enabled/>
                  <w:calcOnExit w:val="0"/>
                  <w:checkBox>
                    <w:sizeAuto/>
                    <w:default w:val="0"/>
                  </w:checkBox>
                </w:ffData>
              </w:fldChar>
            </w:r>
            <w:r>
              <w:rPr>
                <w:rFonts w:ascii="Arial" w:eastAsia="Calibri" w:hAnsi="Arial" w:cs="Arial"/>
                <w:sz w:val="24"/>
                <w:szCs w:val="24"/>
                <w:lang w:eastAsia="en-GB"/>
              </w:rPr>
              <w:instrText xml:space="preserve"> FORMCHECKBOX </w:instrText>
            </w:r>
            <w:r w:rsidR="00000000">
              <w:rPr>
                <w:rFonts w:ascii="Arial" w:eastAsia="Calibri" w:hAnsi="Arial" w:cs="Arial"/>
                <w:sz w:val="24"/>
                <w:szCs w:val="24"/>
                <w:lang w:eastAsia="en-GB"/>
              </w:rPr>
            </w:r>
            <w:r w:rsidR="00000000">
              <w:rPr>
                <w:rFonts w:ascii="Arial" w:eastAsia="Calibri" w:hAnsi="Arial" w:cs="Arial"/>
                <w:sz w:val="24"/>
                <w:szCs w:val="24"/>
                <w:lang w:eastAsia="en-GB"/>
              </w:rPr>
              <w:fldChar w:fldCharType="separate"/>
            </w:r>
            <w:r>
              <w:rPr>
                <w:rFonts w:ascii="Arial" w:eastAsia="Calibri" w:hAnsi="Arial" w:cs="Arial"/>
                <w:sz w:val="24"/>
                <w:szCs w:val="24"/>
                <w:lang w:eastAsia="en-GB"/>
              </w:rPr>
              <w:fldChar w:fldCharType="end"/>
            </w:r>
          </w:p>
        </w:tc>
      </w:tr>
      <w:tr w:rsidR="00CC4B60" w14:paraId="3516D22B" w14:textId="77777777" w:rsidTr="00A15624">
        <w:trPr>
          <w:trHeight w:val="255"/>
        </w:trPr>
        <w:tc>
          <w:tcPr>
            <w:tcW w:w="2461" w:type="dxa"/>
            <w:gridSpan w:val="2"/>
            <w:vMerge/>
            <w:tcBorders>
              <w:left w:val="single" w:sz="4" w:space="0" w:color="auto"/>
              <w:bottom w:val="single" w:sz="4" w:space="0" w:color="auto"/>
              <w:right w:val="single" w:sz="4" w:space="0" w:color="auto"/>
            </w:tcBorders>
          </w:tcPr>
          <w:p w14:paraId="1ACB038A" w14:textId="67265A46" w:rsidR="008B0A34" w:rsidRDefault="008B0A34" w:rsidP="008B0A34">
            <w:pPr>
              <w:rPr>
                <w:rFonts w:ascii="Arial" w:hAnsi="Arial" w:cs="Arial"/>
                <w:b/>
                <w:color w:val="000000" w:themeColor="text1"/>
              </w:rPr>
            </w:pPr>
          </w:p>
        </w:tc>
        <w:tc>
          <w:tcPr>
            <w:tcW w:w="6119" w:type="dxa"/>
            <w:gridSpan w:val="3"/>
            <w:tcBorders>
              <w:top w:val="single" w:sz="4" w:space="0" w:color="auto"/>
              <w:left w:val="single" w:sz="4" w:space="0" w:color="auto"/>
              <w:bottom w:val="single" w:sz="4" w:space="0" w:color="auto"/>
              <w:right w:val="single" w:sz="4" w:space="0" w:color="auto"/>
            </w:tcBorders>
          </w:tcPr>
          <w:p w14:paraId="79537682" w14:textId="77777777" w:rsidR="008B0A34" w:rsidRDefault="008B0A34" w:rsidP="008B0A34">
            <w:pPr>
              <w:rPr>
                <w:rFonts w:ascii="Arial" w:eastAsia="Cambria" w:hAnsi="Arial" w:cs="Arial"/>
                <w:b/>
                <w:sz w:val="20"/>
                <w:szCs w:val="20"/>
              </w:rPr>
            </w:pPr>
          </w:p>
          <w:p w14:paraId="11F64DF8" w14:textId="77777777" w:rsidR="008B0A34" w:rsidRDefault="008B0A34" w:rsidP="008B0A34">
            <w:pPr>
              <w:rPr>
                <w:rFonts w:ascii="Arial" w:eastAsia="Cambria" w:hAnsi="Arial" w:cs="Arial"/>
                <w:b/>
                <w:sz w:val="20"/>
                <w:szCs w:val="20"/>
              </w:rPr>
            </w:pPr>
            <w:r>
              <w:rPr>
                <w:rFonts w:ascii="Arial" w:eastAsia="Cambria" w:hAnsi="Arial" w:cs="Arial"/>
                <w:b/>
                <w:sz w:val="20"/>
                <w:szCs w:val="20"/>
              </w:rPr>
              <w:t>PR7 - Integrated Care System</w:t>
            </w:r>
          </w:p>
          <w:p w14:paraId="3119D692" w14:textId="77777777" w:rsidR="008B0A34" w:rsidRDefault="008B0A34" w:rsidP="008B0A34">
            <w:pPr>
              <w:rPr>
                <w:rFonts w:ascii="Arial" w:eastAsia="Cambria" w:hAnsi="Arial" w:cs="Arial"/>
                <w:b/>
                <w:sz w:val="20"/>
                <w:szCs w:val="20"/>
              </w:rPr>
            </w:pPr>
          </w:p>
        </w:tc>
        <w:tc>
          <w:tcPr>
            <w:tcW w:w="506" w:type="dxa"/>
            <w:tcBorders>
              <w:top w:val="single" w:sz="4" w:space="0" w:color="auto"/>
              <w:left w:val="single" w:sz="4" w:space="0" w:color="auto"/>
              <w:bottom w:val="single" w:sz="4" w:space="0" w:color="auto"/>
              <w:right w:val="single" w:sz="4" w:space="0" w:color="auto"/>
            </w:tcBorders>
          </w:tcPr>
          <w:p w14:paraId="474970B6" w14:textId="666C73BA" w:rsidR="008B0A34" w:rsidRDefault="008B0A34" w:rsidP="008B0A34">
            <w:pPr>
              <w:rPr>
                <w:rFonts w:ascii="Arial" w:eastAsia="Calibri" w:hAnsi="Arial" w:cs="Arial"/>
                <w:sz w:val="24"/>
                <w:szCs w:val="24"/>
                <w:lang w:eastAsia="en-GB"/>
              </w:rPr>
            </w:pPr>
            <w:r>
              <w:rPr>
                <w:rFonts w:ascii="Arial" w:eastAsia="Calibri" w:hAnsi="Arial" w:cs="Arial"/>
                <w:sz w:val="24"/>
                <w:szCs w:val="24"/>
                <w:lang w:eastAsia="en-GB"/>
              </w:rPr>
              <w:t>x</w:t>
            </w:r>
          </w:p>
          <w:p w14:paraId="6775CF81" w14:textId="77777777" w:rsidR="008B0A34" w:rsidRDefault="008B0A34" w:rsidP="008B0A34">
            <w:pPr>
              <w:rPr>
                <w:rFonts w:ascii="Arial" w:hAnsi="Arial" w:cs="Arial"/>
                <w:color w:val="000000" w:themeColor="text1"/>
              </w:rPr>
            </w:pPr>
            <w:r>
              <w:rPr>
                <w:rFonts w:ascii="Arial" w:eastAsia="Calibri" w:hAnsi="Arial" w:cs="Arial"/>
                <w:sz w:val="24"/>
                <w:szCs w:val="24"/>
                <w:lang w:eastAsia="en-GB"/>
              </w:rPr>
              <w:fldChar w:fldCharType="begin">
                <w:ffData>
                  <w:name w:val=""/>
                  <w:enabled/>
                  <w:calcOnExit w:val="0"/>
                  <w:checkBox>
                    <w:sizeAuto/>
                    <w:default w:val="0"/>
                  </w:checkBox>
                </w:ffData>
              </w:fldChar>
            </w:r>
            <w:r>
              <w:rPr>
                <w:rFonts w:ascii="Arial" w:eastAsia="Calibri" w:hAnsi="Arial" w:cs="Arial"/>
                <w:sz w:val="24"/>
                <w:szCs w:val="24"/>
                <w:lang w:eastAsia="en-GB"/>
              </w:rPr>
              <w:instrText xml:space="preserve"> FORMCHECKBOX </w:instrText>
            </w:r>
            <w:r w:rsidR="00000000">
              <w:rPr>
                <w:rFonts w:ascii="Arial" w:eastAsia="Calibri" w:hAnsi="Arial" w:cs="Arial"/>
                <w:sz w:val="24"/>
                <w:szCs w:val="24"/>
                <w:lang w:eastAsia="en-GB"/>
              </w:rPr>
            </w:r>
            <w:r w:rsidR="00000000">
              <w:rPr>
                <w:rFonts w:ascii="Arial" w:eastAsia="Calibri" w:hAnsi="Arial" w:cs="Arial"/>
                <w:sz w:val="24"/>
                <w:szCs w:val="24"/>
                <w:lang w:eastAsia="en-GB"/>
              </w:rPr>
              <w:fldChar w:fldCharType="separate"/>
            </w:r>
            <w:r>
              <w:rPr>
                <w:rFonts w:ascii="Arial" w:eastAsia="Calibri" w:hAnsi="Arial" w:cs="Arial"/>
                <w:sz w:val="24"/>
                <w:szCs w:val="24"/>
                <w:lang w:eastAsia="en-GB"/>
              </w:rPr>
              <w:fldChar w:fldCharType="end"/>
            </w:r>
          </w:p>
        </w:tc>
        <w:tc>
          <w:tcPr>
            <w:tcW w:w="6302" w:type="dxa"/>
            <w:gridSpan w:val="7"/>
            <w:tcBorders>
              <w:top w:val="single" w:sz="4" w:space="0" w:color="auto"/>
              <w:left w:val="single" w:sz="4" w:space="0" w:color="auto"/>
              <w:bottom w:val="single" w:sz="4" w:space="0" w:color="auto"/>
              <w:right w:val="single" w:sz="4" w:space="0" w:color="auto"/>
            </w:tcBorders>
          </w:tcPr>
          <w:p w14:paraId="2DA67C74" w14:textId="77777777" w:rsidR="008B0A34" w:rsidRDefault="008B0A34" w:rsidP="008B0A34">
            <w:pPr>
              <w:rPr>
                <w:rFonts w:ascii="Arial" w:hAnsi="Arial" w:cs="Arial"/>
                <w:b/>
                <w:color w:val="000000" w:themeColor="text1"/>
              </w:rPr>
            </w:pPr>
          </w:p>
          <w:p w14:paraId="670139E4" w14:textId="19FCBEEA" w:rsidR="008B0A34" w:rsidRDefault="008B0A34" w:rsidP="008B0A34">
            <w:pPr>
              <w:rPr>
                <w:rFonts w:ascii="Arial" w:hAnsi="Arial" w:cs="Arial"/>
                <w:b/>
                <w:color w:val="000000" w:themeColor="text1"/>
              </w:rPr>
            </w:pPr>
            <w:r>
              <w:rPr>
                <w:rFonts w:ascii="Arial" w:hAnsi="Arial" w:cs="Arial"/>
                <w:b/>
                <w:color w:val="000000" w:themeColor="text1"/>
              </w:rPr>
              <w:t>Comments: PR7 is interrelated across our agenda, and will be noted as discussions arise.</w:t>
            </w:r>
          </w:p>
        </w:tc>
      </w:tr>
      <w:tr w:rsidR="000A6AF7" w14:paraId="433E8C74" w14:textId="77777777" w:rsidTr="00A15624">
        <w:tc>
          <w:tcPr>
            <w:tcW w:w="246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3CB1532" w14:textId="77777777" w:rsidR="008B0A34" w:rsidRDefault="008B0A34" w:rsidP="008B0A34">
            <w:pPr>
              <w:rPr>
                <w:rFonts w:ascii="Arial" w:hAnsi="Arial" w:cs="Arial"/>
                <w:b/>
                <w:color w:val="000000" w:themeColor="text1"/>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545D563" w14:textId="6B6B05D1" w:rsidR="008B0A34" w:rsidRDefault="008B0A34" w:rsidP="008B0A34">
            <w:pPr>
              <w:rPr>
                <w:rFonts w:ascii="Arial" w:hAnsi="Arial" w:cs="Arial"/>
                <w:b/>
                <w:color w:val="000000" w:themeColor="text1"/>
                <w:sz w:val="24"/>
                <w:szCs w:val="24"/>
              </w:rPr>
            </w:pPr>
            <w:r>
              <w:rPr>
                <w:rFonts w:ascii="Arial" w:hAnsi="Arial" w:cs="Arial"/>
                <w:b/>
                <w:color w:val="000000" w:themeColor="text1"/>
                <w:sz w:val="24"/>
                <w:szCs w:val="24"/>
              </w:rPr>
              <w:t>Key Agenda Items</w:t>
            </w:r>
          </w:p>
        </w:tc>
        <w:tc>
          <w:tcPr>
            <w:tcW w:w="83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317E63E" w14:textId="77777777" w:rsidR="008B0A34" w:rsidRDefault="008B0A34" w:rsidP="008B0A34">
            <w:pPr>
              <w:rPr>
                <w:rFonts w:ascii="Arial" w:hAnsi="Arial" w:cs="Arial"/>
                <w:b/>
                <w:color w:val="000000" w:themeColor="text1"/>
                <w:sz w:val="24"/>
                <w:szCs w:val="24"/>
              </w:rPr>
            </w:pPr>
            <w:r>
              <w:rPr>
                <w:rFonts w:ascii="Arial" w:hAnsi="Arial" w:cs="Arial"/>
                <w:b/>
                <w:color w:val="000000" w:themeColor="text1"/>
                <w:sz w:val="24"/>
                <w:szCs w:val="24"/>
              </w:rPr>
              <w:t>RAG</w:t>
            </w:r>
          </w:p>
        </w:tc>
        <w:tc>
          <w:tcPr>
            <w:tcW w:w="2876"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6E8C9F7" w14:textId="77777777" w:rsidR="008B0A34" w:rsidRDefault="008B0A34" w:rsidP="008B0A34">
            <w:pPr>
              <w:rPr>
                <w:rFonts w:ascii="Arial" w:hAnsi="Arial" w:cs="Arial"/>
                <w:b/>
                <w:color w:val="000000" w:themeColor="text1"/>
                <w:sz w:val="24"/>
                <w:szCs w:val="24"/>
              </w:rPr>
            </w:pPr>
            <w:r>
              <w:rPr>
                <w:rFonts w:ascii="Arial" w:hAnsi="Arial" w:cs="Arial"/>
                <w:b/>
                <w:color w:val="000000" w:themeColor="text1"/>
                <w:sz w:val="24"/>
                <w:szCs w:val="24"/>
              </w:rPr>
              <w:t>Key Assurance Points</w:t>
            </w:r>
          </w:p>
        </w:tc>
        <w:tc>
          <w:tcPr>
            <w:tcW w:w="4451" w:type="dxa"/>
            <w:gridSpan w:val="5"/>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B98E2B8" w14:textId="77777777" w:rsidR="008B0A34" w:rsidRDefault="008B0A34" w:rsidP="008B0A34">
            <w:pPr>
              <w:rPr>
                <w:rFonts w:ascii="Arial" w:hAnsi="Arial" w:cs="Arial"/>
                <w:b/>
                <w:color w:val="000000" w:themeColor="text1"/>
                <w:sz w:val="24"/>
                <w:szCs w:val="24"/>
              </w:rPr>
            </w:pPr>
            <w:r>
              <w:rPr>
                <w:rFonts w:ascii="Arial" w:hAnsi="Arial" w:cs="Arial"/>
                <w:b/>
                <w:color w:val="000000" w:themeColor="text1"/>
                <w:sz w:val="24"/>
                <w:szCs w:val="24"/>
              </w:rPr>
              <w:t xml:space="preserve">Action </w:t>
            </w:r>
          </w:p>
        </w:tc>
      </w:tr>
      <w:tr w:rsidR="00E62C71" w14:paraId="46934A7D" w14:textId="77777777" w:rsidTr="00A15624">
        <w:tc>
          <w:tcPr>
            <w:tcW w:w="2461" w:type="dxa"/>
            <w:gridSpan w:val="2"/>
            <w:tcBorders>
              <w:top w:val="single" w:sz="4" w:space="0" w:color="auto"/>
              <w:left w:val="single" w:sz="4" w:space="0" w:color="auto"/>
              <w:bottom w:val="single" w:sz="4" w:space="0" w:color="auto"/>
              <w:right w:val="single" w:sz="4" w:space="0" w:color="auto"/>
            </w:tcBorders>
          </w:tcPr>
          <w:p w14:paraId="7D1897A2" w14:textId="3395DC8A" w:rsidR="00E62C71" w:rsidRDefault="00E62C71" w:rsidP="00E62C71">
            <w:pPr>
              <w:rPr>
                <w:rFonts w:ascii="Arial" w:hAnsi="Arial" w:cs="Arial"/>
                <w:color w:val="000000" w:themeColor="text1"/>
              </w:rPr>
            </w:pPr>
            <w:r>
              <w:rPr>
                <w:rFonts w:ascii="Arial" w:hAnsi="Arial" w:cs="Arial"/>
                <w:color w:val="000000" w:themeColor="text1"/>
              </w:rPr>
              <w:t>PR6 – IT Service standards</w:t>
            </w:r>
          </w:p>
        </w:tc>
        <w:tc>
          <w:tcPr>
            <w:tcW w:w="4766" w:type="dxa"/>
            <w:tcBorders>
              <w:top w:val="single" w:sz="4" w:space="0" w:color="auto"/>
              <w:left w:val="single" w:sz="4" w:space="0" w:color="auto"/>
              <w:bottom w:val="single" w:sz="4" w:space="0" w:color="auto"/>
              <w:right w:val="single" w:sz="4" w:space="0" w:color="auto"/>
            </w:tcBorders>
          </w:tcPr>
          <w:p w14:paraId="337E116C" w14:textId="778D92F7" w:rsidR="00E62C71" w:rsidRDefault="00E62C71" w:rsidP="00E62C71">
            <w:pPr>
              <w:rPr>
                <w:rFonts w:ascii="Arial" w:hAnsi="Arial" w:cs="Arial"/>
                <w:color w:val="000000" w:themeColor="text1"/>
              </w:rPr>
            </w:pPr>
            <w:r>
              <w:rPr>
                <w:rFonts w:ascii="Arial" w:hAnsi="Arial" w:cs="Arial"/>
                <w:color w:val="000000" w:themeColor="text1"/>
              </w:rPr>
              <w:t>Digital</w:t>
            </w:r>
          </w:p>
        </w:tc>
        <w:tc>
          <w:tcPr>
            <w:tcW w:w="834" w:type="dxa"/>
            <w:tcBorders>
              <w:top w:val="single" w:sz="4" w:space="0" w:color="auto"/>
              <w:left w:val="single" w:sz="4" w:space="0" w:color="auto"/>
              <w:bottom w:val="single" w:sz="4" w:space="0" w:color="auto"/>
              <w:right w:val="single" w:sz="4" w:space="0" w:color="auto"/>
            </w:tcBorders>
            <w:shd w:val="clear" w:color="auto" w:fill="FF0000"/>
          </w:tcPr>
          <w:p w14:paraId="066F218C" w14:textId="77777777" w:rsidR="00E62C71" w:rsidRPr="00D562A6" w:rsidRDefault="00E62C71" w:rsidP="00E62C71">
            <w:pPr>
              <w:rPr>
                <w:rFonts w:ascii="Arial" w:hAnsi="Arial" w:cs="Arial"/>
                <w:color w:val="FF0000"/>
              </w:rPr>
            </w:pPr>
          </w:p>
        </w:tc>
        <w:tc>
          <w:tcPr>
            <w:tcW w:w="2876" w:type="dxa"/>
            <w:gridSpan w:val="4"/>
            <w:tcBorders>
              <w:top w:val="single" w:sz="4" w:space="0" w:color="auto"/>
              <w:left w:val="single" w:sz="4" w:space="0" w:color="auto"/>
              <w:bottom w:val="single" w:sz="4" w:space="0" w:color="auto"/>
              <w:right w:val="single" w:sz="4" w:space="0" w:color="auto"/>
            </w:tcBorders>
          </w:tcPr>
          <w:p w14:paraId="29329609" w14:textId="6542BC13" w:rsidR="00E62C71" w:rsidRDefault="007D252C" w:rsidP="00E62C71">
            <w:pPr>
              <w:jc w:val="both"/>
              <w:rPr>
                <w:rFonts w:ascii="Arial" w:hAnsi="Arial" w:cs="Arial"/>
                <w:color w:val="000000" w:themeColor="text1"/>
              </w:rPr>
            </w:pPr>
            <w:r>
              <w:rPr>
                <w:rFonts w:ascii="Arial" w:hAnsi="Arial" w:cs="Arial"/>
                <w:color w:val="000000" w:themeColor="text1"/>
              </w:rPr>
              <w:t>New measure around cyber will be brought to the committee</w:t>
            </w:r>
            <w:r w:rsidR="00E62C71">
              <w:rPr>
                <w:rFonts w:ascii="Arial" w:hAnsi="Arial" w:cs="Arial"/>
                <w:color w:val="000000" w:themeColor="text1"/>
              </w:rPr>
              <w:t>.</w:t>
            </w:r>
          </w:p>
          <w:p w14:paraId="14B292C4" w14:textId="77777777" w:rsidR="00E62C71" w:rsidRDefault="00E62C71" w:rsidP="00E62C71">
            <w:pPr>
              <w:jc w:val="both"/>
              <w:rPr>
                <w:rFonts w:ascii="Arial" w:hAnsi="Arial" w:cs="Arial"/>
                <w:color w:val="000000" w:themeColor="text1"/>
              </w:rPr>
            </w:pPr>
          </w:p>
          <w:p w14:paraId="23C7F2B5" w14:textId="77777777" w:rsidR="00E62C71" w:rsidRDefault="00E62C71" w:rsidP="00E62C71">
            <w:pPr>
              <w:jc w:val="both"/>
              <w:rPr>
                <w:rFonts w:ascii="Arial" w:hAnsi="Arial" w:cs="Arial"/>
                <w:color w:val="000000" w:themeColor="text1"/>
              </w:rPr>
            </w:pPr>
            <w:r>
              <w:rPr>
                <w:rFonts w:ascii="Arial" w:hAnsi="Arial" w:cs="Arial"/>
                <w:color w:val="000000" w:themeColor="text1"/>
              </w:rPr>
              <w:t>LLP cyber desktop discussed.</w:t>
            </w:r>
          </w:p>
          <w:p w14:paraId="27CDD7DB" w14:textId="77777777" w:rsidR="00515868" w:rsidRDefault="00515868" w:rsidP="00E62C71">
            <w:pPr>
              <w:jc w:val="both"/>
              <w:rPr>
                <w:rFonts w:ascii="Arial" w:hAnsi="Arial" w:cs="Arial"/>
                <w:color w:val="000000" w:themeColor="text1"/>
              </w:rPr>
            </w:pPr>
          </w:p>
          <w:p w14:paraId="5EB99EEA" w14:textId="77777777" w:rsidR="00515868" w:rsidRDefault="00515868" w:rsidP="00E62C71">
            <w:pPr>
              <w:jc w:val="both"/>
              <w:rPr>
                <w:rFonts w:ascii="Arial" w:hAnsi="Arial" w:cs="Arial"/>
                <w:color w:val="000000" w:themeColor="text1"/>
              </w:rPr>
            </w:pPr>
          </w:p>
          <w:p w14:paraId="63B186A2" w14:textId="77777777" w:rsidR="00515868" w:rsidRDefault="00515868" w:rsidP="00E62C71">
            <w:pPr>
              <w:jc w:val="both"/>
              <w:rPr>
                <w:rFonts w:ascii="Arial" w:hAnsi="Arial" w:cs="Arial"/>
                <w:color w:val="000000" w:themeColor="text1"/>
              </w:rPr>
            </w:pPr>
          </w:p>
          <w:p w14:paraId="4B4107A3" w14:textId="77777777" w:rsidR="00515868" w:rsidRDefault="00515868" w:rsidP="00E62C71">
            <w:pPr>
              <w:jc w:val="both"/>
              <w:rPr>
                <w:rFonts w:ascii="Arial" w:hAnsi="Arial" w:cs="Arial"/>
                <w:color w:val="000000" w:themeColor="text1"/>
              </w:rPr>
            </w:pPr>
          </w:p>
          <w:p w14:paraId="7066AC02" w14:textId="4A2D1E0D" w:rsidR="00515868" w:rsidRDefault="00515868" w:rsidP="00E62C71">
            <w:pPr>
              <w:jc w:val="both"/>
              <w:rPr>
                <w:rFonts w:ascii="Arial" w:hAnsi="Arial" w:cs="Arial"/>
                <w:color w:val="000000" w:themeColor="text1"/>
              </w:rPr>
            </w:pPr>
            <w:r>
              <w:rPr>
                <w:rFonts w:ascii="Arial" w:hAnsi="Arial" w:cs="Arial"/>
                <w:color w:val="000000" w:themeColor="text1"/>
              </w:rPr>
              <w:t>The issue on learning hub was discussed</w:t>
            </w:r>
          </w:p>
        </w:tc>
        <w:tc>
          <w:tcPr>
            <w:tcW w:w="4451" w:type="dxa"/>
            <w:gridSpan w:val="5"/>
            <w:tcBorders>
              <w:top w:val="single" w:sz="4" w:space="0" w:color="auto"/>
              <w:left w:val="single" w:sz="4" w:space="0" w:color="auto"/>
              <w:bottom w:val="single" w:sz="4" w:space="0" w:color="auto"/>
              <w:right w:val="single" w:sz="4" w:space="0" w:color="auto"/>
            </w:tcBorders>
          </w:tcPr>
          <w:p w14:paraId="3D61C224" w14:textId="5FA2AE07" w:rsidR="00E62C71" w:rsidRDefault="007D252C" w:rsidP="00E62C71">
            <w:pPr>
              <w:jc w:val="both"/>
              <w:rPr>
                <w:rFonts w:ascii="Arial" w:hAnsi="Arial" w:cs="Arial"/>
                <w:color w:val="000000" w:themeColor="text1"/>
              </w:rPr>
            </w:pPr>
            <w:r>
              <w:rPr>
                <w:rFonts w:ascii="Arial" w:hAnsi="Arial" w:cs="Arial"/>
                <w:color w:val="000000" w:themeColor="text1"/>
              </w:rPr>
              <w:t>The ask remains</w:t>
            </w:r>
            <w:r w:rsidR="00E62C71">
              <w:rPr>
                <w:rFonts w:ascii="Arial" w:hAnsi="Arial" w:cs="Arial"/>
                <w:color w:val="000000" w:themeColor="text1"/>
              </w:rPr>
              <w:t xml:space="preserve"> from the Committee that the presentation of the report goes to Board </w:t>
            </w:r>
            <w:r w:rsidR="006D0C09">
              <w:rPr>
                <w:rFonts w:ascii="Arial" w:hAnsi="Arial" w:cs="Arial"/>
                <w:color w:val="000000" w:themeColor="text1"/>
              </w:rPr>
              <w:t xml:space="preserve"> </w:t>
            </w:r>
            <w:r w:rsidR="006D0C09" w:rsidRPr="006D0C09">
              <w:rPr>
                <w:rFonts w:ascii="Arial" w:hAnsi="Arial" w:cs="Arial"/>
                <w:color w:val="000000" w:themeColor="text1"/>
              </w:rPr>
              <w:t xml:space="preserve"> early in 2023 to </w:t>
            </w:r>
            <w:r w:rsidR="00E62C71">
              <w:rPr>
                <w:rFonts w:ascii="Arial" w:hAnsi="Arial" w:cs="Arial"/>
                <w:color w:val="000000" w:themeColor="text1"/>
              </w:rPr>
              <w:t>support the speedy implementation of the priorities.</w:t>
            </w:r>
          </w:p>
          <w:p w14:paraId="6A61AF06" w14:textId="77777777" w:rsidR="00E62C71" w:rsidRDefault="00E62C71" w:rsidP="00E62C71">
            <w:pPr>
              <w:jc w:val="both"/>
              <w:rPr>
                <w:rFonts w:ascii="Arial" w:hAnsi="Arial" w:cs="Arial"/>
                <w:color w:val="000000" w:themeColor="text1"/>
              </w:rPr>
            </w:pPr>
          </w:p>
          <w:p w14:paraId="4084721D" w14:textId="755BE68D" w:rsidR="00E62C71" w:rsidRDefault="007D252C" w:rsidP="00E62C71">
            <w:pPr>
              <w:jc w:val="both"/>
              <w:rPr>
                <w:rFonts w:ascii="Arial" w:hAnsi="Arial" w:cs="Arial"/>
                <w:color w:val="000000" w:themeColor="text1"/>
              </w:rPr>
            </w:pPr>
            <w:r>
              <w:rPr>
                <w:rFonts w:ascii="Arial" w:hAnsi="Arial" w:cs="Arial"/>
                <w:color w:val="000000" w:themeColor="text1"/>
              </w:rPr>
              <w:t>Committee welcomed a date has now been scheduled</w:t>
            </w:r>
            <w:r w:rsidR="00E62C71">
              <w:rPr>
                <w:rFonts w:ascii="Arial" w:hAnsi="Arial" w:cs="Arial"/>
                <w:color w:val="000000" w:themeColor="text1"/>
              </w:rPr>
              <w:t xml:space="preserve"> by DIS to conduct the review i.e.</w:t>
            </w:r>
          </w:p>
          <w:p w14:paraId="341AA2D2" w14:textId="77777777" w:rsidR="00E62C71" w:rsidRDefault="00E62C71" w:rsidP="00E62C71">
            <w:pPr>
              <w:jc w:val="both"/>
              <w:rPr>
                <w:rFonts w:ascii="Arial" w:hAnsi="Arial" w:cs="Arial"/>
                <w:color w:val="000000" w:themeColor="text1"/>
              </w:rPr>
            </w:pPr>
            <w:r>
              <w:rPr>
                <w:rFonts w:ascii="Arial" w:hAnsi="Arial" w:cs="Arial"/>
                <w:color w:val="000000" w:themeColor="text1"/>
              </w:rPr>
              <w:t>LLP cyber desktop exercise needed to ensure we mitigate any risks should an attack happen.</w:t>
            </w:r>
          </w:p>
          <w:p w14:paraId="2DE1B2C0" w14:textId="1F6D291F" w:rsidR="00E62C71" w:rsidRDefault="00515868" w:rsidP="00E62C71">
            <w:pPr>
              <w:jc w:val="both"/>
              <w:rPr>
                <w:rFonts w:ascii="Arial" w:hAnsi="Arial" w:cs="Arial"/>
                <w:color w:val="000000" w:themeColor="text1"/>
              </w:rPr>
            </w:pPr>
            <w:r>
              <w:rPr>
                <w:rFonts w:ascii="Arial" w:hAnsi="Arial" w:cs="Arial"/>
                <w:color w:val="000000" w:themeColor="text1"/>
              </w:rPr>
              <w:t>The ask is for a report on lessons learnt, with an interim report on risks and actions to be shared with the committee</w:t>
            </w:r>
          </w:p>
        </w:tc>
      </w:tr>
      <w:tr w:rsidR="008B0A34" w14:paraId="5308CC5F" w14:textId="77777777" w:rsidTr="00A15624">
        <w:tc>
          <w:tcPr>
            <w:tcW w:w="2461" w:type="dxa"/>
            <w:gridSpan w:val="2"/>
            <w:tcBorders>
              <w:top w:val="single" w:sz="4" w:space="0" w:color="auto"/>
              <w:left w:val="single" w:sz="4" w:space="0" w:color="auto"/>
              <w:bottom w:val="single" w:sz="4" w:space="0" w:color="auto"/>
              <w:right w:val="single" w:sz="4" w:space="0" w:color="auto"/>
            </w:tcBorders>
          </w:tcPr>
          <w:p w14:paraId="5601CBB2" w14:textId="7775DA51" w:rsidR="008B0A34" w:rsidRDefault="008B0A34" w:rsidP="008B0A34">
            <w:pPr>
              <w:rPr>
                <w:rFonts w:ascii="Arial" w:hAnsi="Arial" w:cs="Arial"/>
                <w:color w:val="000000" w:themeColor="text1"/>
              </w:rPr>
            </w:pPr>
            <w:r>
              <w:rPr>
                <w:rFonts w:ascii="Arial" w:hAnsi="Arial" w:cs="Arial"/>
                <w:color w:val="000000" w:themeColor="text1"/>
              </w:rPr>
              <w:t>PR3 – Performance Targets</w:t>
            </w:r>
          </w:p>
        </w:tc>
        <w:tc>
          <w:tcPr>
            <w:tcW w:w="4766" w:type="dxa"/>
            <w:tcBorders>
              <w:top w:val="single" w:sz="4" w:space="0" w:color="auto"/>
              <w:left w:val="single" w:sz="4" w:space="0" w:color="auto"/>
              <w:bottom w:val="single" w:sz="4" w:space="0" w:color="auto"/>
              <w:right w:val="single" w:sz="4" w:space="0" w:color="auto"/>
            </w:tcBorders>
          </w:tcPr>
          <w:p w14:paraId="1DF05876" w14:textId="0E9A0423" w:rsidR="008B0A34" w:rsidRDefault="008B0A34" w:rsidP="008B0A34">
            <w:pPr>
              <w:rPr>
                <w:rFonts w:ascii="Arial" w:hAnsi="Arial" w:cs="Arial"/>
                <w:color w:val="000000" w:themeColor="text1"/>
              </w:rPr>
            </w:pPr>
            <w:r>
              <w:rPr>
                <w:rFonts w:ascii="Arial" w:hAnsi="Arial" w:cs="Arial"/>
                <w:color w:val="000000" w:themeColor="text1"/>
              </w:rPr>
              <w:t>Performance Targets</w:t>
            </w:r>
          </w:p>
        </w:tc>
        <w:tc>
          <w:tcPr>
            <w:tcW w:w="834" w:type="dxa"/>
            <w:tcBorders>
              <w:top w:val="single" w:sz="4" w:space="0" w:color="auto"/>
              <w:left w:val="single" w:sz="4" w:space="0" w:color="auto"/>
              <w:bottom w:val="single" w:sz="4" w:space="0" w:color="auto"/>
              <w:right w:val="single" w:sz="4" w:space="0" w:color="auto"/>
            </w:tcBorders>
            <w:shd w:val="clear" w:color="auto" w:fill="FF0000"/>
          </w:tcPr>
          <w:p w14:paraId="287E76D1" w14:textId="77777777" w:rsidR="008B0A34" w:rsidRPr="00D562A6" w:rsidRDefault="008B0A34" w:rsidP="008B0A34">
            <w:pPr>
              <w:rPr>
                <w:rFonts w:ascii="Arial" w:hAnsi="Arial" w:cs="Arial"/>
                <w:color w:val="FF0000"/>
              </w:rPr>
            </w:pPr>
          </w:p>
        </w:tc>
        <w:tc>
          <w:tcPr>
            <w:tcW w:w="2876" w:type="dxa"/>
            <w:gridSpan w:val="4"/>
            <w:tcBorders>
              <w:top w:val="single" w:sz="4" w:space="0" w:color="auto"/>
              <w:left w:val="single" w:sz="4" w:space="0" w:color="auto"/>
              <w:bottom w:val="single" w:sz="4" w:space="0" w:color="auto"/>
              <w:right w:val="single" w:sz="4" w:space="0" w:color="auto"/>
            </w:tcBorders>
          </w:tcPr>
          <w:p w14:paraId="16A10280" w14:textId="32EF0681" w:rsidR="008B0A34" w:rsidRDefault="00C04520" w:rsidP="008B0A34">
            <w:pPr>
              <w:jc w:val="both"/>
              <w:rPr>
                <w:rFonts w:ascii="Arial" w:hAnsi="Arial" w:cs="Arial"/>
                <w:color w:val="000000" w:themeColor="text1"/>
              </w:rPr>
            </w:pPr>
            <w:r>
              <w:rPr>
                <w:rFonts w:ascii="Arial" w:hAnsi="Arial" w:cs="Arial"/>
                <w:color w:val="000000" w:themeColor="text1"/>
              </w:rPr>
              <w:t>S</w:t>
            </w:r>
            <w:r w:rsidR="008B0A34">
              <w:rPr>
                <w:rFonts w:ascii="Arial" w:hAnsi="Arial" w:cs="Arial"/>
                <w:color w:val="000000" w:themeColor="text1"/>
              </w:rPr>
              <w:t>ignificant operational pressures noted.</w:t>
            </w:r>
          </w:p>
        </w:tc>
        <w:tc>
          <w:tcPr>
            <w:tcW w:w="4451" w:type="dxa"/>
            <w:gridSpan w:val="5"/>
            <w:tcBorders>
              <w:top w:val="single" w:sz="4" w:space="0" w:color="auto"/>
              <w:left w:val="single" w:sz="4" w:space="0" w:color="auto"/>
              <w:bottom w:val="single" w:sz="4" w:space="0" w:color="auto"/>
              <w:right w:val="single" w:sz="4" w:space="0" w:color="auto"/>
            </w:tcBorders>
          </w:tcPr>
          <w:p w14:paraId="39E9A26C" w14:textId="7BE26350" w:rsidR="008B0A34" w:rsidRDefault="008B0A34" w:rsidP="008B0A34">
            <w:pPr>
              <w:jc w:val="both"/>
              <w:rPr>
                <w:rFonts w:ascii="Arial" w:hAnsi="Arial" w:cs="Arial"/>
                <w:color w:val="000000" w:themeColor="text1"/>
              </w:rPr>
            </w:pPr>
            <w:r>
              <w:rPr>
                <w:rFonts w:ascii="Arial" w:hAnsi="Arial" w:cs="Arial"/>
                <w:color w:val="000000" w:themeColor="text1"/>
              </w:rPr>
              <w:t>Focused plans on acute flow and elective backlog to address significant operational pressures</w:t>
            </w:r>
            <w:r w:rsidR="00C04520">
              <w:rPr>
                <w:rFonts w:ascii="Arial" w:hAnsi="Arial" w:cs="Arial"/>
                <w:color w:val="000000" w:themeColor="text1"/>
              </w:rPr>
              <w:t xml:space="preserve"> – </w:t>
            </w:r>
            <w:r w:rsidR="002F1044">
              <w:rPr>
                <w:rFonts w:ascii="Arial" w:hAnsi="Arial" w:cs="Arial"/>
                <w:color w:val="000000" w:themeColor="text1"/>
              </w:rPr>
              <w:t xml:space="preserve">ask for </w:t>
            </w:r>
            <w:r w:rsidR="00651D9E">
              <w:rPr>
                <w:rFonts w:ascii="Arial" w:hAnsi="Arial" w:cs="Arial"/>
                <w:color w:val="000000" w:themeColor="text1"/>
              </w:rPr>
              <w:t xml:space="preserve">continued identification of </w:t>
            </w:r>
            <w:r w:rsidR="002F1044">
              <w:rPr>
                <w:rFonts w:ascii="Arial" w:hAnsi="Arial" w:cs="Arial"/>
                <w:color w:val="000000" w:themeColor="text1"/>
              </w:rPr>
              <w:t>focus areas to alleviate biggest pressures.</w:t>
            </w:r>
          </w:p>
        </w:tc>
      </w:tr>
      <w:tr w:rsidR="008B0A34" w14:paraId="38F12B1B" w14:textId="77777777" w:rsidTr="00A15624">
        <w:tc>
          <w:tcPr>
            <w:tcW w:w="2461" w:type="dxa"/>
            <w:gridSpan w:val="2"/>
            <w:tcBorders>
              <w:top w:val="single" w:sz="4" w:space="0" w:color="auto"/>
              <w:left w:val="single" w:sz="4" w:space="0" w:color="auto"/>
              <w:bottom w:val="single" w:sz="4" w:space="0" w:color="auto"/>
              <w:right w:val="single" w:sz="4" w:space="0" w:color="auto"/>
            </w:tcBorders>
          </w:tcPr>
          <w:p w14:paraId="3C4D2B0F" w14:textId="381D11A6" w:rsidR="008B0A34" w:rsidRDefault="008B0A34" w:rsidP="008B0A34">
            <w:pPr>
              <w:rPr>
                <w:rFonts w:ascii="Arial" w:hAnsi="Arial" w:cs="Arial"/>
                <w:color w:val="000000" w:themeColor="text1"/>
              </w:rPr>
            </w:pPr>
            <w:r>
              <w:rPr>
                <w:rFonts w:ascii="Arial" w:hAnsi="Arial" w:cs="Arial"/>
                <w:color w:val="000000" w:themeColor="text1"/>
              </w:rPr>
              <w:t>PR5 – Inadequate Funding</w:t>
            </w:r>
          </w:p>
        </w:tc>
        <w:tc>
          <w:tcPr>
            <w:tcW w:w="4766" w:type="dxa"/>
            <w:tcBorders>
              <w:top w:val="single" w:sz="4" w:space="0" w:color="auto"/>
              <w:left w:val="single" w:sz="4" w:space="0" w:color="auto"/>
              <w:bottom w:val="single" w:sz="4" w:space="0" w:color="auto"/>
              <w:right w:val="single" w:sz="4" w:space="0" w:color="auto"/>
            </w:tcBorders>
          </w:tcPr>
          <w:p w14:paraId="44B75D47" w14:textId="43CA543F" w:rsidR="008B0A34" w:rsidRDefault="008B0A34" w:rsidP="008B0A34">
            <w:pPr>
              <w:rPr>
                <w:rFonts w:ascii="Arial" w:hAnsi="Arial" w:cs="Arial"/>
                <w:color w:val="000000" w:themeColor="text1"/>
              </w:rPr>
            </w:pPr>
            <w:r>
              <w:rPr>
                <w:rFonts w:ascii="Arial" w:hAnsi="Arial" w:cs="Arial"/>
                <w:color w:val="000000" w:themeColor="text1"/>
              </w:rPr>
              <w:t xml:space="preserve">Deficit </w:t>
            </w:r>
            <w:r w:rsidR="007E7DF6">
              <w:rPr>
                <w:rFonts w:ascii="Arial" w:hAnsi="Arial" w:cs="Arial"/>
                <w:color w:val="000000" w:themeColor="text1"/>
              </w:rPr>
              <w:t xml:space="preserve">issue </w:t>
            </w:r>
          </w:p>
        </w:tc>
        <w:tc>
          <w:tcPr>
            <w:tcW w:w="834" w:type="dxa"/>
            <w:tcBorders>
              <w:top w:val="single" w:sz="4" w:space="0" w:color="auto"/>
              <w:left w:val="single" w:sz="4" w:space="0" w:color="auto"/>
              <w:bottom w:val="single" w:sz="4" w:space="0" w:color="auto"/>
              <w:right w:val="single" w:sz="4" w:space="0" w:color="auto"/>
            </w:tcBorders>
            <w:shd w:val="clear" w:color="auto" w:fill="FFC000"/>
          </w:tcPr>
          <w:p w14:paraId="49823A32" w14:textId="77777777" w:rsidR="008B0A34" w:rsidRDefault="008B0A34" w:rsidP="008B0A34">
            <w:pPr>
              <w:rPr>
                <w:rFonts w:ascii="Arial" w:hAnsi="Arial" w:cs="Arial"/>
                <w:color w:val="000000" w:themeColor="text1"/>
              </w:rPr>
            </w:pPr>
          </w:p>
        </w:tc>
        <w:tc>
          <w:tcPr>
            <w:tcW w:w="2876" w:type="dxa"/>
            <w:gridSpan w:val="4"/>
            <w:tcBorders>
              <w:top w:val="single" w:sz="4" w:space="0" w:color="auto"/>
              <w:left w:val="single" w:sz="4" w:space="0" w:color="auto"/>
              <w:bottom w:val="single" w:sz="4" w:space="0" w:color="auto"/>
              <w:right w:val="single" w:sz="4" w:space="0" w:color="auto"/>
            </w:tcBorders>
          </w:tcPr>
          <w:p w14:paraId="5A060BE8" w14:textId="77777777" w:rsidR="007E7DF6" w:rsidRDefault="007E7DF6" w:rsidP="008B0A34">
            <w:pPr>
              <w:jc w:val="both"/>
              <w:rPr>
                <w:rFonts w:ascii="Arial" w:hAnsi="Arial" w:cs="Arial"/>
                <w:color w:val="000000" w:themeColor="text1"/>
                <w:shd w:val="clear" w:color="auto" w:fill="FFFFFF"/>
              </w:rPr>
            </w:pPr>
            <w:r>
              <w:rPr>
                <w:rFonts w:ascii="Arial" w:hAnsi="Arial" w:cs="Arial"/>
                <w:color w:val="000000" w:themeColor="text1"/>
                <w:shd w:val="clear" w:color="auto" w:fill="FFFFFF"/>
              </w:rPr>
              <w:t>Deficit issue particularly with premium pay</w:t>
            </w:r>
          </w:p>
          <w:p w14:paraId="23FF5BFE" w14:textId="4D83429D" w:rsidR="008B0A34" w:rsidRDefault="008B0A34" w:rsidP="00651D9E">
            <w:pPr>
              <w:jc w:val="both"/>
              <w:rPr>
                <w:rFonts w:ascii="Arial" w:hAnsi="Arial" w:cs="Arial"/>
                <w:color w:val="000000" w:themeColor="text1"/>
                <w:shd w:val="clear" w:color="auto" w:fill="FFFFFF"/>
              </w:rPr>
            </w:pPr>
          </w:p>
        </w:tc>
        <w:tc>
          <w:tcPr>
            <w:tcW w:w="4451" w:type="dxa"/>
            <w:gridSpan w:val="5"/>
            <w:tcBorders>
              <w:top w:val="single" w:sz="4" w:space="0" w:color="auto"/>
              <w:left w:val="single" w:sz="4" w:space="0" w:color="auto"/>
              <w:bottom w:val="single" w:sz="4" w:space="0" w:color="auto"/>
              <w:right w:val="single" w:sz="4" w:space="0" w:color="auto"/>
            </w:tcBorders>
          </w:tcPr>
          <w:p w14:paraId="1678F239" w14:textId="08239179" w:rsidR="008B0A34" w:rsidRDefault="00CE5812" w:rsidP="008B0A34">
            <w:pPr>
              <w:jc w:val="both"/>
              <w:rPr>
                <w:rFonts w:ascii="Arial" w:hAnsi="Arial" w:cs="Arial"/>
                <w:color w:val="000000" w:themeColor="text1"/>
              </w:rPr>
            </w:pPr>
            <w:r>
              <w:rPr>
                <w:rFonts w:ascii="Arial" w:hAnsi="Arial" w:cs="Arial"/>
                <w:color w:val="000000" w:themeColor="text1"/>
              </w:rPr>
              <w:t>Monitoring needed with continued focus on areas with gaps such as CIP</w:t>
            </w:r>
            <w:r w:rsidR="00515868">
              <w:rPr>
                <w:rFonts w:ascii="Arial" w:hAnsi="Arial" w:cs="Arial"/>
                <w:color w:val="000000" w:themeColor="text1"/>
              </w:rPr>
              <w:t>. Concern re stadium lease</w:t>
            </w:r>
            <w:r w:rsidR="00426AB9">
              <w:rPr>
                <w:rFonts w:ascii="Arial" w:hAnsi="Arial" w:cs="Arial"/>
                <w:color w:val="000000" w:themeColor="text1"/>
              </w:rPr>
              <w:t xml:space="preserve"> – assurance provided that mitigations are in place</w:t>
            </w:r>
            <w:r w:rsidR="00515868">
              <w:rPr>
                <w:rFonts w:ascii="Arial" w:hAnsi="Arial" w:cs="Arial"/>
                <w:color w:val="000000" w:themeColor="text1"/>
              </w:rPr>
              <w:t>.</w:t>
            </w:r>
          </w:p>
        </w:tc>
      </w:tr>
    </w:tbl>
    <w:p w14:paraId="50371254" w14:textId="77777777" w:rsidR="00470570" w:rsidRDefault="00470570" w:rsidP="00470570">
      <w:pPr>
        <w:rPr>
          <w:rFonts w:ascii="Arial" w:hAnsi="Arial" w:cs="Arial"/>
          <w:sz w:val="24"/>
          <w:szCs w:val="24"/>
          <w:u w:val="single"/>
        </w:rPr>
      </w:pPr>
    </w:p>
    <w:p w14:paraId="558D0284" w14:textId="77777777" w:rsidR="00B8443E" w:rsidRDefault="00B8443E"/>
    <w:sectPr w:rsidR="00B8443E" w:rsidSect="00B6562C">
      <w:headerReference w:type="default" r:id="rId11"/>
      <w:pgSz w:w="16838" w:h="11906" w:orient="landscape"/>
      <w:pgMar w:top="720" w:right="720" w:bottom="720" w:left="72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C0CF" w14:textId="77777777" w:rsidR="005848F6" w:rsidRDefault="005848F6" w:rsidP="00251147">
      <w:pPr>
        <w:spacing w:after="0" w:line="240" w:lineRule="auto"/>
      </w:pPr>
      <w:r>
        <w:separator/>
      </w:r>
    </w:p>
  </w:endnote>
  <w:endnote w:type="continuationSeparator" w:id="0">
    <w:p w14:paraId="5833ED32" w14:textId="77777777" w:rsidR="005848F6" w:rsidRDefault="005848F6" w:rsidP="0025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7812" w14:textId="77777777" w:rsidR="005848F6" w:rsidRDefault="005848F6" w:rsidP="00251147">
      <w:pPr>
        <w:spacing w:after="0" w:line="240" w:lineRule="auto"/>
      </w:pPr>
      <w:r>
        <w:separator/>
      </w:r>
    </w:p>
  </w:footnote>
  <w:footnote w:type="continuationSeparator" w:id="0">
    <w:p w14:paraId="681C0009" w14:textId="77777777" w:rsidR="005848F6" w:rsidRDefault="005848F6" w:rsidP="00251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156E" w14:textId="3106AF7F" w:rsidR="00B6562C" w:rsidRDefault="00B6562C" w:rsidP="00A47C9B">
    <w:pPr>
      <w:pStyle w:val="Header"/>
      <w:tabs>
        <w:tab w:val="clear" w:pos="4513"/>
        <w:tab w:val="clear" w:pos="9026"/>
        <w:tab w:val="left" w:pos="11948"/>
      </w:tabs>
    </w:pPr>
    <w:r w:rsidRPr="00B6562C">
      <w:rPr>
        <w:noProof/>
        <w:sz w:val="16"/>
        <w:szCs w:val="16"/>
        <w:lang w:eastAsia="en-GB"/>
      </w:rPr>
      <w:drawing>
        <wp:anchor distT="0" distB="0" distL="114300" distR="114300" simplePos="0" relativeHeight="251659264" behindDoc="0" locked="0" layoutInCell="1" allowOverlap="1" wp14:anchorId="755E9691" wp14:editId="665B39DE">
          <wp:simplePos x="0" y="0"/>
          <wp:positionH relativeFrom="column">
            <wp:posOffset>8458066</wp:posOffset>
          </wp:positionH>
          <wp:positionV relativeFrom="page">
            <wp:posOffset>156527</wp:posOffset>
          </wp:positionV>
          <wp:extent cx="1363345" cy="588226"/>
          <wp:effectExtent l="0" t="0" r="825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345" cy="588226"/>
                  </a:xfrm>
                  <a:prstGeom prst="rect">
                    <a:avLst/>
                  </a:prstGeom>
                </pic:spPr>
              </pic:pic>
            </a:graphicData>
          </a:graphic>
          <wp14:sizeRelH relativeFrom="margin">
            <wp14:pctWidth>0</wp14:pctWidth>
          </wp14:sizeRelH>
          <wp14:sizeRelV relativeFrom="margin">
            <wp14:pctHeight>0</wp14:pctHeight>
          </wp14:sizeRelV>
        </wp:anchor>
      </w:drawing>
    </w:r>
  </w:p>
  <w:p w14:paraId="5130D8AF" w14:textId="547BEB82" w:rsidR="00251147" w:rsidRDefault="00A47C9B" w:rsidP="00A47C9B">
    <w:pPr>
      <w:pStyle w:val="Header"/>
      <w:tabs>
        <w:tab w:val="clear" w:pos="4513"/>
        <w:tab w:val="clear" w:pos="9026"/>
        <w:tab w:val="left" w:pos="119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DB6"/>
    <w:multiLevelType w:val="hybridMultilevel"/>
    <w:tmpl w:val="53D43D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8B183C"/>
    <w:multiLevelType w:val="hybridMultilevel"/>
    <w:tmpl w:val="0748BC2A"/>
    <w:lvl w:ilvl="0" w:tplc="2090A7D0">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2556"/>
    <w:multiLevelType w:val="hybridMultilevel"/>
    <w:tmpl w:val="3F18C9A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13EA4"/>
    <w:multiLevelType w:val="hybridMultilevel"/>
    <w:tmpl w:val="0610052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5E7820"/>
    <w:multiLevelType w:val="multilevel"/>
    <w:tmpl w:val="805E1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2177C"/>
    <w:multiLevelType w:val="hybridMultilevel"/>
    <w:tmpl w:val="6D6C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C5055"/>
    <w:multiLevelType w:val="multilevel"/>
    <w:tmpl w:val="309C46BA"/>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E3248C"/>
    <w:multiLevelType w:val="hybridMultilevel"/>
    <w:tmpl w:val="8EAA86EC"/>
    <w:lvl w:ilvl="0" w:tplc="A0D23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9D0033"/>
    <w:multiLevelType w:val="multilevel"/>
    <w:tmpl w:val="C424220E"/>
    <w:lvl w:ilvl="0">
      <w:start w:val="6"/>
      <w:numFmt w:val="decimal"/>
      <w:lvlText w:val="%1.0"/>
      <w:lvlJc w:val="left"/>
      <w:pPr>
        <w:ind w:left="1494"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9" w15:restartNumberingAfterBreak="0">
    <w:nsid w:val="27CE34BA"/>
    <w:multiLevelType w:val="hybridMultilevel"/>
    <w:tmpl w:val="12FCABC4"/>
    <w:lvl w:ilvl="0" w:tplc="2090A7D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A06B3"/>
    <w:multiLevelType w:val="hybridMultilevel"/>
    <w:tmpl w:val="BA74ABC4"/>
    <w:lvl w:ilvl="0" w:tplc="716002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E47327"/>
    <w:multiLevelType w:val="multilevel"/>
    <w:tmpl w:val="C38A2E92"/>
    <w:lvl w:ilvl="0">
      <w:start w:val="11"/>
      <w:numFmt w:val="decimal"/>
      <w:lvlText w:val="%1.0"/>
      <w:lvlJc w:val="left"/>
      <w:pPr>
        <w:ind w:left="735" w:hanging="390"/>
      </w:pPr>
      <w:rPr>
        <w:rFonts w:hint="default"/>
      </w:rPr>
    </w:lvl>
    <w:lvl w:ilvl="1">
      <w:start w:val="1"/>
      <w:numFmt w:val="decimal"/>
      <w:lvlText w:val="%1.%2"/>
      <w:lvlJc w:val="left"/>
      <w:pPr>
        <w:ind w:left="1455" w:hanging="390"/>
      </w:pPr>
      <w:rPr>
        <w:rFonts w:hint="default"/>
      </w:rPr>
    </w:lvl>
    <w:lvl w:ilvl="2">
      <w:start w:val="1"/>
      <w:numFmt w:val="decimal"/>
      <w:lvlText w:val="%1.%2.%3"/>
      <w:lvlJc w:val="left"/>
      <w:pPr>
        <w:ind w:left="2505" w:hanging="720"/>
      </w:pPr>
      <w:rPr>
        <w:rFonts w:hint="default"/>
      </w:rPr>
    </w:lvl>
    <w:lvl w:ilvl="3">
      <w:start w:val="1"/>
      <w:numFmt w:val="decimal"/>
      <w:lvlText w:val="%1.%2.%3.%4"/>
      <w:lvlJc w:val="left"/>
      <w:pPr>
        <w:ind w:left="3225" w:hanging="720"/>
      </w:pPr>
      <w:rPr>
        <w:rFonts w:hint="default"/>
      </w:rPr>
    </w:lvl>
    <w:lvl w:ilvl="4">
      <w:start w:val="1"/>
      <w:numFmt w:val="decimal"/>
      <w:lvlText w:val="%1.%2.%3.%4.%5"/>
      <w:lvlJc w:val="left"/>
      <w:pPr>
        <w:ind w:left="4305" w:hanging="1080"/>
      </w:pPr>
      <w:rPr>
        <w:rFonts w:hint="default"/>
      </w:rPr>
    </w:lvl>
    <w:lvl w:ilvl="5">
      <w:start w:val="1"/>
      <w:numFmt w:val="decimal"/>
      <w:lvlText w:val="%1.%2.%3.%4.%5.%6"/>
      <w:lvlJc w:val="left"/>
      <w:pPr>
        <w:ind w:left="5025" w:hanging="1080"/>
      </w:pPr>
      <w:rPr>
        <w:rFonts w:hint="default"/>
      </w:rPr>
    </w:lvl>
    <w:lvl w:ilvl="6">
      <w:start w:val="1"/>
      <w:numFmt w:val="decimal"/>
      <w:lvlText w:val="%1.%2.%3.%4.%5.%6.%7"/>
      <w:lvlJc w:val="left"/>
      <w:pPr>
        <w:ind w:left="6105" w:hanging="1440"/>
      </w:pPr>
      <w:rPr>
        <w:rFonts w:hint="default"/>
      </w:rPr>
    </w:lvl>
    <w:lvl w:ilvl="7">
      <w:start w:val="1"/>
      <w:numFmt w:val="decimal"/>
      <w:lvlText w:val="%1.%2.%3.%4.%5.%6.%7.%8"/>
      <w:lvlJc w:val="left"/>
      <w:pPr>
        <w:ind w:left="6825" w:hanging="1440"/>
      </w:pPr>
      <w:rPr>
        <w:rFonts w:hint="default"/>
      </w:rPr>
    </w:lvl>
    <w:lvl w:ilvl="8">
      <w:start w:val="1"/>
      <w:numFmt w:val="decimal"/>
      <w:lvlText w:val="%1.%2.%3.%4.%5.%6.%7.%8.%9"/>
      <w:lvlJc w:val="left"/>
      <w:pPr>
        <w:ind w:left="7545" w:hanging="1440"/>
      </w:pPr>
      <w:rPr>
        <w:rFonts w:hint="default"/>
      </w:rPr>
    </w:lvl>
  </w:abstractNum>
  <w:abstractNum w:abstractNumId="12" w15:restartNumberingAfterBreak="0">
    <w:nsid w:val="2D736353"/>
    <w:multiLevelType w:val="hybridMultilevel"/>
    <w:tmpl w:val="4A14442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9249E4"/>
    <w:multiLevelType w:val="hybridMultilevel"/>
    <w:tmpl w:val="EDEE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75C81"/>
    <w:multiLevelType w:val="hybridMultilevel"/>
    <w:tmpl w:val="1622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D239E"/>
    <w:multiLevelType w:val="hybridMultilevel"/>
    <w:tmpl w:val="26CE3394"/>
    <w:lvl w:ilvl="0" w:tplc="2090A7D0">
      <w:start w:val="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6A73A6"/>
    <w:multiLevelType w:val="hybridMultilevel"/>
    <w:tmpl w:val="6CF20DAA"/>
    <w:lvl w:ilvl="0" w:tplc="F5BE3A14">
      <w:start w:val="110"/>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7" w15:restartNumberingAfterBreak="0">
    <w:nsid w:val="32397D96"/>
    <w:multiLevelType w:val="hybridMultilevel"/>
    <w:tmpl w:val="07B02924"/>
    <w:lvl w:ilvl="0" w:tplc="2090A7D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610F5"/>
    <w:multiLevelType w:val="multilevel"/>
    <w:tmpl w:val="9A261952"/>
    <w:lvl w:ilvl="0">
      <w:start w:val="10"/>
      <w:numFmt w:val="decimal"/>
      <w:lvlText w:val="%1.0"/>
      <w:lvlJc w:val="left"/>
      <w:pPr>
        <w:ind w:left="750" w:hanging="390"/>
      </w:pPr>
      <w:rPr>
        <w:rFonts w:hint="default"/>
      </w:rPr>
    </w:lvl>
    <w:lvl w:ilvl="1">
      <w:start w:val="1"/>
      <w:numFmt w:val="decimal"/>
      <w:lvlText w:val="%1.%2"/>
      <w:lvlJc w:val="left"/>
      <w:pPr>
        <w:ind w:left="1470" w:hanging="39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9" w15:restartNumberingAfterBreak="0">
    <w:nsid w:val="3A797FEE"/>
    <w:multiLevelType w:val="hybridMultilevel"/>
    <w:tmpl w:val="53AC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901CB"/>
    <w:multiLevelType w:val="multilevel"/>
    <w:tmpl w:val="23A85ADC"/>
    <w:lvl w:ilvl="0">
      <w:start w:val="1"/>
      <w:numFmt w:val="bullet"/>
      <w:lvlText w:val=""/>
      <w:lvlJc w:val="left"/>
      <w:pPr>
        <w:tabs>
          <w:tab w:val="num" w:pos="360"/>
        </w:tabs>
        <w:ind w:left="360" w:hanging="360"/>
      </w:pPr>
      <w:rPr>
        <w:rFonts w:ascii="Symbol" w:hAnsi="Symbol" w:hint="default"/>
        <w:sz w:val="20"/>
      </w:rPr>
    </w:lvl>
    <w:lvl w:ilvl="1">
      <w:numFmt w:val="lowerRoman"/>
      <w:lvlText w:val="%2."/>
      <w:lvlJc w:val="right"/>
      <w:pPr>
        <w:tabs>
          <w:tab w:val="num" w:pos="1080"/>
        </w:tabs>
        <w:ind w:left="1080" w:hanging="360"/>
      </w:pPr>
    </w:lvl>
    <w:lvl w:ilvl="2" w:tentative="1">
      <w:numFmt w:val="lowerLetter"/>
      <w:lvlText w:val="%3."/>
      <w:lvlJc w:val="left"/>
      <w:pPr>
        <w:tabs>
          <w:tab w:val="num" w:pos="1800"/>
        </w:tabs>
        <w:ind w:left="1800" w:hanging="360"/>
      </w:pPr>
    </w:lvl>
    <w:lvl w:ilvl="3" w:tentative="1">
      <w:numFmt w:val="lowerLetter"/>
      <w:lvlText w:val="%4."/>
      <w:lvlJc w:val="left"/>
      <w:pPr>
        <w:tabs>
          <w:tab w:val="num" w:pos="2520"/>
        </w:tabs>
        <w:ind w:left="2520" w:hanging="360"/>
      </w:pPr>
    </w:lvl>
    <w:lvl w:ilvl="4" w:tentative="1">
      <w:numFmt w:val="lowerLetter"/>
      <w:lvlText w:val="%5."/>
      <w:lvlJc w:val="left"/>
      <w:pPr>
        <w:tabs>
          <w:tab w:val="num" w:pos="3240"/>
        </w:tabs>
        <w:ind w:left="3240" w:hanging="360"/>
      </w:pPr>
    </w:lvl>
    <w:lvl w:ilvl="5" w:tentative="1">
      <w:numFmt w:val="lowerLetter"/>
      <w:lvlText w:val="%6."/>
      <w:lvlJc w:val="left"/>
      <w:pPr>
        <w:tabs>
          <w:tab w:val="num" w:pos="3960"/>
        </w:tabs>
        <w:ind w:left="3960" w:hanging="360"/>
      </w:pPr>
    </w:lvl>
    <w:lvl w:ilvl="6" w:tentative="1">
      <w:numFmt w:val="lowerLetter"/>
      <w:lvlText w:val="%7."/>
      <w:lvlJc w:val="left"/>
      <w:pPr>
        <w:tabs>
          <w:tab w:val="num" w:pos="4680"/>
        </w:tabs>
        <w:ind w:left="4680" w:hanging="360"/>
      </w:pPr>
    </w:lvl>
    <w:lvl w:ilvl="7" w:tentative="1">
      <w:numFmt w:val="lowerLetter"/>
      <w:lvlText w:val="%8."/>
      <w:lvlJc w:val="left"/>
      <w:pPr>
        <w:tabs>
          <w:tab w:val="num" w:pos="5400"/>
        </w:tabs>
        <w:ind w:left="5400" w:hanging="360"/>
      </w:pPr>
    </w:lvl>
    <w:lvl w:ilvl="8" w:tentative="1">
      <w:numFmt w:val="lowerLetter"/>
      <w:lvlText w:val="%9."/>
      <w:lvlJc w:val="left"/>
      <w:pPr>
        <w:tabs>
          <w:tab w:val="num" w:pos="6120"/>
        </w:tabs>
        <w:ind w:left="6120" w:hanging="360"/>
      </w:pPr>
    </w:lvl>
  </w:abstractNum>
  <w:abstractNum w:abstractNumId="21" w15:restartNumberingAfterBreak="0">
    <w:nsid w:val="3D756769"/>
    <w:multiLevelType w:val="hybridMultilevel"/>
    <w:tmpl w:val="E44239E8"/>
    <w:lvl w:ilvl="0" w:tplc="2090A7D0">
      <w:start w:val="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B03FEA"/>
    <w:multiLevelType w:val="hybridMultilevel"/>
    <w:tmpl w:val="450C4AD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3" w15:restartNumberingAfterBreak="0">
    <w:nsid w:val="4736274F"/>
    <w:multiLevelType w:val="hybridMultilevel"/>
    <w:tmpl w:val="2AEE5E5C"/>
    <w:lvl w:ilvl="0" w:tplc="62E439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51F13"/>
    <w:multiLevelType w:val="multilevel"/>
    <w:tmpl w:val="88663A38"/>
    <w:lvl w:ilvl="0">
      <w:start w:val="10"/>
      <w:numFmt w:val="decimal"/>
      <w:lvlText w:val="%1.0"/>
      <w:lvlJc w:val="left"/>
      <w:pPr>
        <w:ind w:left="690" w:hanging="390"/>
      </w:pPr>
      <w:rPr>
        <w:rFonts w:hint="default"/>
      </w:rPr>
    </w:lvl>
    <w:lvl w:ilvl="1">
      <w:start w:val="1"/>
      <w:numFmt w:val="decimal"/>
      <w:lvlText w:val="%1.%2"/>
      <w:lvlJc w:val="left"/>
      <w:pPr>
        <w:ind w:left="1410" w:hanging="39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780" w:hanging="1440"/>
      </w:pPr>
      <w:rPr>
        <w:rFonts w:hint="default"/>
      </w:rPr>
    </w:lvl>
    <w:lvl w:ilvl="8">
      <w:start w:val="1"/>
      <w:numFmt w:val="decimal"/>
      <w:lvlText w:val="%1.%2.%3.%4.%5.%6.%7.%8.%9"/>
      <w:lvlJc w:val="left"/>
      <w:pPr>
        <w:ind w:left="7500" w:hanging="1440"/>
      </w:pPr>
      <w:rPr>
        <w:rFonts w:hint="default"/>
      </w:rPr>
    </w:lvl>
  </w:abstractNum>
  <w:abstractNum w:abstractNumId="25" w15:restartNumberingAfterBreak="0">
    <w:nsid w:val="51270B79"/>
    <w:multiLevelType w:val="hybridMultilevel"/>
    <w:tmpl w:val="CA28DF0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F0DDE"/>
    <w:multiLevelType w:val="multilevel"/>
    <w:tmpl w:val="72B068A0"/>
    <w:lvl w:ilvl="0">
      <w:start w:val="1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8493B2B"/>
    <w:multiLevelType w:val="hybridMultilevel"/>
    <w:tmpl w:val="14542FE4"/>
    <w:lvl w:ilvl="0" w:tplc="2090A7D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BF26D6"/>
    <w:multiLevelType w:val="hybridMultilevel"/>
    <w:tmpl w:val="3334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900BA"/>
    <w:multiLevelType w:val="multilevel"/>
    <w:tmpl w:val="3E4AEE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2B0B3F"/>
    <w:multiLevelType w:val="hybridMultilevel"/>
    <w:tmpl w:val="5A54C6BE"/>
    <w:lvl w:ilvl="0" w:tplc="FFFFFFFF">
      <w:start w:val="6"/>
      <w:numFmt w:val="bullet"/>
      <w:lvlText w:val="-"/>
      <w:lvlJc w:val="left"/>
      <w:pPr>
        <w:ind w:left="360" w:hanging="360"/>
      </w:pPr>
      <w:rPr>
        <w:rFonts w:ascii="Calibri" w:eastAsiaTheme="minorHAnsi" w:hAnsi="Calibri" w:cs="Calibri" w:hint="default"/>
      </w:rPr>
    </w:lvl>
    <w:lvl w:ilvl="1" w:tplc="08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0809000F">
      <w:start w:val="1"/>
      <w:numFmt w:val="decimal"/>
      <w:lvlText w:val="%4."/>
      <w:lvlJc w:val="left"/>
      <w:pPr>
        <w:ind w:left="2520" w:hanging="360"/>
      </w:p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4D32FE6"/>
    <w:multiLevelType w:val="hybridMultilevel"/>
    <w:tmpl w:val="9794AE74"/>
    <w:lvl w:ilvl="0" w:tplc="9F76DB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D57BD7"/>
    <w:multiLevelType w:val="hybridMultilevel"/>
    <w:tmpl w:val="5BEE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15A04"/>
    <w:multiLevelType w:val="hybridMultilevel"/>
    <w:tmpl w:val="21C25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0623DF"/>
    <w:multiLevelType w:val="hybridMultilevel"/>
    <w:tmpl w:val="CB809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8658E0"/>
    <w:multiLevelType w:val="hybridMultilevel"/>
    <w:tmpl w:val="930825E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A408FA"/>
    <w:multiLevelType w:val="multilevel"/>
    <w:tmpl w:val="409C36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F12837"/>
    <w:multiLevelType w:val="hybridMultilevel"/>
    <w:tmpl w:val="67B64308"/>
    <w:lvl w:ilvl="0" w:tplc="7CBCDD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C8A1F6B"/>
    <w:multiLevelType w:val="hybridMultilevel"/>
    <w:tmpl w:val="432C639E"/>
    <w:lvl w:ilvl="0" w:tplc="96BC20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5C63EE"/>
    <w:multiLevelType w:val="multilevel"/>
    <w:tmpl w:val="E5C0B342"/>
    <w:lvl w:ilvl="0">
      <w:start w:val="1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EB36F9E"/>
    <w:multiLevelType w:val="hybridMultilevel"/>
    <w:tmpl w:val="B9522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843729"/>
    <w:multiLevelType w:val="hybridMultilevel"/>
    <w:tmpl w:val="A1B29F46"/>
    <w:lvl w:ilvl="0" w:tplc="2090A7D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097434">
    <w:abstractNumId w:val="14"/>
  </w:num>
  <w:num w:numId="2" w16cid:durableId="1883786122">
    <w:abstractNumId w:val="12"/>
  </w:num>
  <w:num w:numId="3" w16cid:durableId="337848654">
    <w:abstractNumId w:val="40"/>
  </w:num>
  <w:num w:numId="4" w16cid:durableId="538199052">
    <w:abstractNumId w:val="25"/>
  </w:num>
  <w:num w:numId="5" w16cid:durableId="676270336">
    <w:abstractNumId w:val="22"/>
  </w:num>
  <w:num w:numId="6" w16cid:durableId="1390223802">
    <w:abstractNumId w:val="3"/>
  </w:num>
  <w:num w:numId="7" w16cid:durableId="309285890">
    <w:abstractNumId w:val="0"/>
  </w:num>
  <w:num w:numId="8" w16cid:durableId="95055364">
    <w:abstractNumId w:val="23"/>
  </w:num>
  <w:num w:numId="9" w16cid:durableId="385418119">
    <w:abstractNumId w:val="13"/>
  </w:num>
  <w:num w:numId="10" w16cid:durableId="133644501">
    <w:abstractNumId w:val="23"/>
  </w:num>
  <w:num w:numId="11" w16cid:durableId="230317315">
    <w:abstractNumId w:val="5"/>
  </w:num>
  <w:num w:numId="12" w16cid:durableId="714356797">
    <w:abstractNumId w:val="35"/>
  </w:num>
  <w:num w:numId="13" w16cid:durableId="346950513">
    <w:abstractNumId w:val="33"/>
  </w:num>
  <w:num w:numId="14" w16cid:durableId="1360546292">
    <w:abstractNumId w:val="8"/>
  </w:num>
  <w:num w:numId="15" w16cid:durableId="730079519">
    <w:abstractNumId w:val="37"/>
  </w:num>
  <w:num w:numId="16" w16cid:durableId="1405451032">
    <w:abstractNumId w:val="2"/>
  </w:num>
  <w:num w:numId="17" w16cid:durableId="777019719">
    <w:abstractNumId w:val="18"/>
  </w:num>
  <w:num w:numId="18" w16cid:durableId="1810315799">
    <w:abstractNumId w:val="24"/>
  </w:num>
  <w:num w:numId="19" w16cid:durableId="1543515823">
    <w:abstractNumId w:val="6"/>
  </w:num>
  <w:num w:numId="20" w16cid:durableId="1300380161">
    <w:abstractNumId w:val="16"/>
  </w:num>
  <w:num w:numId="21" w16cid:durableId="1544714291">
    <w:abstractNumId w:val="11"/>
  </w:num>
  <w:num w:numId="22" w16cid:durableId="427576697">
    <w:abstractNumId w:val="26"/>
  </w:num>
  <w:num w:numId="23" w16cid:durableId="460272936">
    <w:abstractNumId w:val="39"/>
  </w:num>
  <w:num w:numId="24" w16cid:durableId="1088623678">
    <w:abstractNumId w:val="1"/>
  </w:num>
  <w:num w:numId="25" w16cid:durableId="1648244184">
    <w:abstractNumId w:val="32"/>
  </w:num>
  <w:num w:numId="26" w16cid:durableId="1928466342">
    <w:abstractNumId w:val="17"/>
  </w:num>
  <w:num w:numId="27" w16cid:durableId="1842232479">
    <w:abstractNumId w:val="21"/>
  </w:num>
  <w:num w:numId="28" w16cid:durableId="1113938561">
    <w:abstractNumId w:val="15"/>
  </w:num>
  <w:num w:numId="29" w16cid:durableId="349333578">
    <w:abstractNumId w:val="29"/>
  </w:num>
  <w:num w:numId="30" w16cid:durableId="422577528">
    <w:abstractNumId w:val="36"/>
  </w:num>
  <w:num w:numId="31" w16cid:durableId="198783824">
    <w:abstractNumId w:val="20"/>
  </w:num>
  <w:num w:numId="32" w16cid:durableId="792291979">
    <w:abstractNumId w:val="20"/>
    <w:lvlOverride w:ilvl="0"/>
    <w:lvlOverride w:ilvl="1">
      <w:startOverride w:val="1"/>
    </w:lvlOverride>
  </w:num>
  <w:num w:numId="33" w16cid:durableId="81725841">
    <w:abstractNumId w:val="19"/>
  </w:num>
  <w:num w:numId="34" w16cid:durableId="1711418324">
    <w:abstractNumId w:val="7"/>
  </w:num>
  <w:num w:numId="35" w16cid:durableId="1595943368">
    <w:abstractNumId w:val="38"/>
  </w:num>
  <w:num w:numId="36" w16cid:durableId="455373121">
    <w:abstractNumId w:val="10"/>
  </w:num>
  <w:num w:numId="37" w16cid:durableId="1631010693">
    <w:abstractNumId w:val="31"/>
  </w:num>
  <w:num w:numId="38" w16cid:durableId="411509095">
    <w:abstractNumId w:val="30"/>
  </w:num>
  <w:num w:numId="39" w16cid:durableId="733695519">
    <w:abstractNumId w:val="4"/>
    <w:lvlOverride w:ilvl="0">
      <w:startOverride w:val="2"/>
    </w:lvlOverride>
  </w:num>
  <w:num w:numId="40" w16cid:durableId="601576169">
    <w:abstractNumId w:val="34"/>
  </w:num>
  <w:num w:numId="41" w16cid:durableId="967317526">
    <w:abstractNumId w:val="9"/>
  </w:num>
  <w:num w:numId="42" w16cid:durableId="1280646298">
    <w:abstractNumId w:val="41"/>
  </w:num>
  <w:num w:numId="43" w16cid:durableId="1124888091">
    <w:abstractNumId w:val="28"/>
  </w:num>
  <w:num w:numId="44" w16cid:durableId="6399657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33"/>
    <w:rsid w:val="0000050B"/>
    <w:rsid w:val="00001137"/>
    <w:rsid w:val="000050BE"/>
    <w:rsid w:val="000050D2"/>
    <w:rsid w:val="00005408"/>
    <w:rsid w:val="0000613F"/>
    <w:rsid w:val="00007B2C"/>
    <w:rsid w:val="000108AD"/>
    <w:rsid w:val="00010E08"/>
    <w:rsid w:val="00011207"/>
    <w:rsid w:val="00012234"/>
    <w:rsid w:val="00013005"/>
    <w:rsid w:val="000154C7"/>
    <w:rsid w:val="000155E9"/>
    <w:rsid w:val="000156F3"/>
    <w:rsid w:val="00020B47"/>
    <w:rsid w:val="00021470"/>
    <w:rsid w:val="00022288"/>
    <w:rsid w:val="00026E87"/>
    <w:rsid w:val="00034435"/>
    <w:rsid w:val="000358C8"/>
    <w:rsid w:val="00041BD1"/>
    <w:rsid w:val="00045023"/>
    <w:rsid w:val="000506C3"/>
    <w:rsid w:val="0005354D"/>
    <w:rsid w:val="000555D0"/>
    <w:rsid w:val="00055EE2"/>
    <w:rsid w:val="00060363"/>
    <w:rsid w:val="00060AF4"/>
    <w:rsid w:val="00061223"/>
    <w:rsid w:val="000629ED"/>
    <w:rsid w:val="00066A6E"/>
    <w:rsid w:val="0007030D"/>
    <w:rsid w:val="00072CAD"/>
    <w:rsid w:val="00073501"/>
    <w:rsid w:val="00076B00"/>
    <w:rsid w:val="000814E9"/>
    <w:rsid w:val="0008439C"/>
    <w:rsid w:val="00087BF7"/>
    <w:rsid w:val="00090120"/>
    <w:rsid w:val="000A6AF7"/>
    <w:rsid w:val="000B0D52"/>
    <w:rsid w:val="000B7F43"/>
    <w:rsid w:val="000C0767"/>
    <w:rsid w:val="000C3655"/>
    <w:rsid w:val="000D05CE"/>
    <w:rsid w:val="000E0B2B"/>
    <w:rsid w:val="000F0810"/>
    <w:rsid w:val="000F1EC6"/>
    <w:rsid w:val="000F28B5"/>
    <w:rsid w:val="000F2963"/>
    <w:rsid w:val="000F2B01"/>
    <w:rsid w:val="000F5109"/>
    <w:rsid w:val="000F7328"/>
    <w:rsid w:val="0011429D"/>
    <w:rsid w:val="00124A0A"/>
    <w:rsid w:val="00125847"/>
    <w:rsid w:val="001277A7"/>
    <w:rsid w:val="00132FA1"/>
    <w:rsid w:val="00133D04"/>
    <w:rsid w:val="00134877"/>
    <w:rsid w:val="00140BC3"/>
    <w:rsid w:val="00144DBC"/>
    <w:rsid w:val="00145058"/>
    <w:rsid w:val="001565FF"/>
    <w:rsid w:val="001624A5"/>
    <w:rsid w:val="00177562"/>
    <w:rsid w:val="0018110F"/>
    <w:rsid w:val="00183271"/>
    <w:rsid w:val="00196019"/>
    <w:rsid w:val="001A055A"/>
    <w:rsid w:val="001A1051"/>
    <w:rsid w:val="001A226A"/>
    <w:rsid w:val="001A25AD"/>
    <w:rsid w:val="001A3115"/>
    <w:rsid w:val="001A4982"/>
    <w:rsid w:val="001A4BE2"/>
    <w:rsid w:val="001B225E"/>
    <w:rsid w:val="001B4060"/>
    <w:rsid w:val="001B508B"/>
    <w:rsid w:val="001B7D73"/>
    <w:rsid w:val="001C4B0E"/>
    <w:rsid w:val="001C6A06"/>
    <w:rsid w:val="001D0566"/>
    <w:rsid w:val="001D18A2"/>
    <w:rsid w:val="001D2AD2"/>
    <w:rsid w:val="001E3782"/>
    <w:rsid w:val="001E4208"/>
    <w:rsid w:val="001E5AFD"/>
    <w:rsid w:val="001F0924"/>
    <w:rsid w:val="001F2892"/>
    <w:rsid w:val="00206DD4"/>
    <w:rsid w:val="00206E38"/>
    <w:rsid w:val="002071C0"/>
    <w:rsid w:val="0021133C"/>
    <w:rsid w:val="002116A1"/>
    <w:rsid w:val="00213F4C"/>
    <w:rsid w:val="00216300"/>
    <w:rsid w:val="002169AA"/>
    <w:rsid w:val="002324CA"/>
    <w:rsid w:val="00232689"/>
    <w:rsid w:val="002346A2"/>
    <w:rsid w:val="00236989"/>
    <w:rsid w:val="00236CFD"/>
    <w:rsid w:val="00240727"/>
    <w:rsid w:val="00240793"/>
    <w:rsid w:val="00240FBE"/>
    <w:rsid w:val="00244404"/>
    <w:rsid w:val="00244EC5"/>
    <w:rsid w:val="00251147"/>
    <w:rsid w:val="00256E65"/>
    <w:rsid w:val="00257A2B"/>
    <w:rsid w:val="002612C1"/>
    <w:rsid w:val="00266B67"/>
    <w:rsid w:val="00266BF4"/>
    <w:rsid w:val="00280045"/>
    <w:rsid w:val="0029734A"/>
    <w:rsid w:val="002A4C7D"/>
    <w:rsid w:val="002A5BF6"/>
    <w:rsid w:val="002A6F64"/>
    <w:rsid w:val="002B0A97"/>
    <w:rsid w:val="002B1843"/>
    <w:rsid w:val="002B1C78"/>
    <w:rsid w:val="002B27B7"/>
    <w:rsid w:val="002B5C12"/>
    <w:rsid w:val="002B6D41"/>
    <w:rsid w:val="002B7731"/>
    <w:rsid w:val="002C327C"/>
    <w:rsid w:val="002C3474"/>
    <w:rsid w:val="002C4B16"/>
    <w:rsid w:val="002C4E6C"/>
    <w:rsid w:val="002D1CFE"/>
    <w:rsid w:val="002D3525"/>
    <w:rsid w:val="002D42DC"/>
    <w:rsid w:val="002D50B1"/>
    <w:rsid w:val="002E0B01"/>
    <w:rsid w:val="002E113B"/>
    <w:rsid w:val="002F1044"/>
    <w:rsid w:val="002F10B5"/>
    <w:rsid w:val="002F51F7"/>
    <w:rsid w:val="003012C5"/>
    <w:rsid w:val="00303643"/>
    <w:rsid w:val="00303EE0"/>
    <w:rsid w:val="00306A49"/>
    <w:rsid w:val="00310489"/>
    <w:rsid w:val="00324B22"/>
    <w:rsid w:val="00325BD9"/>
    <w:rsid w:val="00326253"/>
    <w:rsid w:val="00327132"/>
    <w:rsid w:val="00333858"/>
    <w:rsid w:val="00333D32"/>
    <w:rsid w:val="00334A62"/>
    <w:rsid w:val="00336DE4"/>
    <w:rsid w:val="003413DD"/>
    <w:rsid w:val="00344081"/>
    <w:rsid w:val="003504B8"/>
    <w:rsid w:val="00350DB6"/>
    <w:rsid w:val="00351083"/>
    <w:rsid w:val="00364430"/>
    <w:rsid w:val="00373D38"/>
    <w:rsid w:val="003778F6"/>
    <w:rsid w:val="00380525"/>
    <w:rsid w:val="00380B44"/>
    <w:rsid w:val="003810D5"/>
    <w:rsid w:val="003825E5"/>
    <w:rsid w:val="003831DF"/>
    <w:rsid w:val="0038373B"/>
    <w:rsid w:val="00386EA0"/>
    <w:rsid w:val="0039750A"/>
    <w:rsid w:val="00397921"/>
    <w:rsid w:val="003A1339"/>
    <w:rsid w:val="003A4A4E"/>
    <w:rsid w:val="003A6ED7"/>
    <w:rsid w:val="003B0E16"/>
    <w:rsid w:val="003B568E"/>
    <w:rsid w:val="003B6E40"/>
    <w:rsid w:val="003C2405"/>
    <w:rsid w:val="003D4E8F"/>
    <w:rsid w:val="003D7014"/>
    <w:rsid w:val="003D7541"/>
    <w:rsid w:val="003E42A7"/>
    <w:rsid w:val="003E599A"/>
    <w:rsid w:val="003F213A"/>
    <w:rsid w:val="003F609C"/>
    <w:rsid w:val="004024FB"/>
    <w:rsid w:val="00403909"/>
    <w:rsid w:val="004075DE"/>
    <w:rsid w:val="004076B5"/>
    <w:rsid w:val="00412CAB"/>
    <w:rsid w:val="00412CF7"/>
    <w:rsid w:val="004218C8"/>
    <w:rsid w:val="004269D8"/>
    <w:rsid w:val="00426AB9"/>
    <w:rsid w:val="0043324E"/>
    <w:rsid w:val="00435608"/>
    <w:rsid w:val="004427FD"/>
    <w:rsid w:val="00443C3F"/>
    <w:rsid w:val="00453759"/>
    <w:rsid w:val="00461FA2"/>
    <w:rsid w:val="0046523B"/>
    <w:rsid w:val="00470570"/>
    <w:rsid w:val="00471AC5"/>
    <w:rsid w:val="004725E0"/>
    <w:rsid w:val="0047581F"/>
    <w:rsid w:val="00480BB6"/>
    <w:rsid w:val="004823B7"/>
    <w:rsid w:val="004864DB"/>
    <w:rsid w:val="004A216F"/>
    <w:rsid w:val="004B080A"/>
    <w:rsid w:val="004B5329"/>
    <w:rsid w:val="004B6FA8"/>
    <w:rsid w:val="004C5017"/>
    <w:rsid w:val="004C5B44"/>
    <w:rsid w:val="004D2BF0"/>
    <w:rsid w:val="004D4882"/>
    <w:rsid w:val="004E4AEB"/>
    <w:rsid w:val="004F21FF"/>
    <w:rsid w:val="004F4CD1"/>
    <w:rsid w:val="00504802"/>
    <w:rsid w:val="00510B8F"/>
    <w:rsid w:val="005113A0"/>
    <w:rsid w:val="00515868"/>
    <w:rsid w:val="00516ACB"/>
    <w:rsid w:val="00522132"/>
    <w:rsid w:val="00522E8F"/>
    <w:rsid w:val="005244FD"/>
    <w:rsid w:val="0052457B"/>
    <w:rsid w:val="005320C5"/>
    <w:rsid w:val="00532118"/>
    <w:rsid w:val="00534464"/>
    <w:rsid w:val="005358B4"/>
    <w:rsid w:val="00535BBA"/>
    <w:rsid w:val="00543C7F"/>
    <w:rsid w:val="005460E4"/>
    <w:rsid w:val="00547FEE"/>
    <w:rsid w:val="005539A2"/>
    <w:rsid w:val="0055412A"/>
    <w:rsid w:val="005553E2"/>
    <w:rsid w:val="005579E8"/>
    <w:rsid w:val="00560756"/>
    <w:rsid w:val="0056090A"/>
    <w:rsid w:val="00561AE6"/>
    <w:rsid w:val="00567C73"/>
    <w:rsid w:val="00572692"/>
    <w:rsid w:val="005810F0"/>
    <w:rsid w:val="00581E3E"/>
    <w:rsid w:val="005848F6"/>
    <w:rsid w:val="00584B77"/>
    <w:rsid w:val="00585B4E"/>
    <w:rsid w:val="005A15C4"/>
    <w:rsid w:val="005B05F6"/>
    <w:rsid w:val="005B71D7"/>
    <w:rsid w:val="005C41E1"/>
    <w:rsid w:val="005C43C3"/>
    <w:rsid w:val="005C4BF9"/>
    <w:rsid w:val="005C4E68"/>
    <w:rsid w:val="005D26EF"/>
    <w:rsid w:val="005D59EE"/>
    <w:rsid w:val="005D6BBF"/>
    <w:rsid w:val="005E524F"/>
    <w:rsid w:val="005F0279"/>
    <w:rsid w:val="005F1443"/>
    <w:rsid w:val="00613160"/>
    <w:rsid w:val="006256A6"/>
    <w:rsid w:val="0063504F"/>
    <w:rsid w:val="00640864"/>
    <w:rsid w:val="00640BE9"/>
    <w:rsid w:val="00643404"/>
    <w:rsid w:val="00644356"/>
    <w:rsid w:val="00645DE3"/>
    <w:rsid w:val="00646583"/>
    <w:rsid w:val="00651D9E"/>
    <w:rsid w:val="0065221B"/>
    <w:rsid w:val="00654800"/>
    <w:rsid w:val="006615CB"/>
    <w:rsid w:val="00666740"/>
    <w:rsid w:val="006766FF"/>
    <w:rsid w:val="0068528F"/>
    <w:rsid w:val="00685815"/>
    <w:rsid w:val="00687D85"/>
    <w:rsid w:val="00690BB7"/>
    <w:rsid w:val="00697C5E"/>
    <w:rsid w:val="006B5A30"/>
    <w:rsid w:val="006C357C"/>
    <w:rsid w:val="006C576F"/>
    <w:rsid w:val="006C6853"/>
    <w:rsid w:val="006C7D91"/>
    <w:rsid w:val="006D0C09"/>
    <w:rsid w:val="006D6733"/>
    <w:rsid w:val="006D699E"/>
    <w:rsid w:val="006E1641"/>
    <w:rsid w:val="006E16E6"/>
    <w:rsid w:val="006F7083"/>
    <w:rsid w:val="00707D14"/>
    <w:rsid w:val="007114A9"/>
    <w:rsid w:val="00712023"/>
    <w:rsid w:val="00716FEE"/>
    <w:rsid w:val="00717E99"/>
    <w:rsid w:val="007248D9"/>
    <w:rsid w:val="0073183D"/>
    <w:rsid w:val="00733B8E"/>
    <w:rsid w:val="0073534E"/>
    <w:rsid w:val="00742BE9"/>
    <w:rsid w:val="00744001"/>
    <w:rsid w:val="00745C6B"/>
    <w:rsid w:val="00753D8A"/>
    <w:rsid w:val="00761AFA"/>
    <w:rsid w:val="00766E89"/>
    <w:rsid w:val="007722DD"/>
    <w:rsid w:val="007726AE"/>
    <w:rsid w:val="00776DBA"/>
    <w:rsid w:val="00780120"/>
    <w:rsid w:val="0078190F"/>
    <w:rsid w:val="00784142"/>
    <w:rsid w:val="00786852"/>
    <w:rsid w:val="00787E58"/>
    <w:rsid w:val="00790ED1"/>
    <w:rsid w:val="007968B5"/>
    <w:rsid w:val="007A25EE"/>
    <w:rsid w:val="007A2C60"/>
    <w:rsid w:val="007A55D5"/>
    <w:rsid w:val="007B1739"/>
    <w:rsid w:val="007B3E30"/>
    <w:rsid w:val="007B5D47"/>
    <w:rsid w:val="007B6F9A"/>
    <w:rsid w:val="007C260C"/>
    <w:rsid w:val="007C54AF"/>
    <w:rsid w:val="007C782D"/>
    <w:rsid w:val="007C7A20"/>
    <w:rsid w:val="007D252C"/>
    <w:rsid w:val="007D27EA"/>
    <w:rsid w:val="007D2D47"/>
    <w:rsid w:val="007D3070"/>
    <w:rsid w:val="007D52F0"/>
    <w:rsid w:val="007D6271"/>
    <w:rsid w:val="007E7DF6"/>
    <w:rsid w:val="007F42BF"/>
    <w:rsid w:val="008045AB"/>
    <w:rsid w:val="00804B99"/>
    <w:rsid w:val="00805C72"/>
    <w:rsid w:val="00810A5E"/>
    <w:rsid w:val="00821B61"/>
    <w:rsid w:val="00824567"/>
    <w:rsid w:val="00835F5C"/>
    <w:rsid w:val="00836DC4"/>
    <w:rsid w:val="0084096F"/>
    <w:rsid w:val="00842F79"/>
    <w:rsid w:val="0085224C"/>
    <w:rsid w:val="00852974"/>
    <w:rsid w:val="00861DA7"/>
    <w:rsid w:val="00863142"/>
    <w:rsid w:val="00872537"/>
    <w:rsid w:val="00882A34"/>
    <w:rsid w:val="0088619B"/>
    <w:rsid w:val="00887A3F"/>
    <w:rsid w:val="00891F4F"/>
    <w:rsid w:val="00893376"/>
    <w:rsid w:val="00893546"/>
    <w:rsid w:val="00895F5A"/>
    <w:rsid w:val="008A2F33"/>
    <w:rsid w:val="008A52BE"/>
    <w:rsid w:val="008A62CF"/>
    <w:rsid w:val="008B0791"/>
    <w:rsid w:val="008B0A34"/>
    <w:rsid w:val="008B22D5"/>
    <w:rsid w:val="008B329F"/>
    <w:rsid w:val="008B7DB2"/>
    <w:rsid w:val="008D3EA7"/>
    <w:rsid w:val="008F2A90"/>
    <w:rsid w:val="008F7566"/>
    <w:rsid w:val="009004AB"/>
    <w:rsid w:val="00902228"/>
    <w:rsid w:val="009029BE"/>
    <w:rsid w:val="00905287"/>
    <w:rsid w:val="00915389"/>
    <w:rsid w:val="00920A60"/>
    <w:rsid w:val="00925C62"/>
    <w:rsid w:val="00926792"/>
    <w:rsid w:val="009300B9"/>
    <w:rsid w:val="009337A3"/>
    <w:rsid w:val="00935357"/>
    <w:rsid w:val="00937110"/>
    <w:rsid w:val="00941D03"/>
    <w:rsid w:val="009471A9"/>
    <w:rsid w:val="00951970"/>
    <w:rsid w:val="009535B7"/>
    <w:rsid w:val="00954027"/>
    <w:rsid w:val="0095573E"/>
    <w:rsid w:val="009567C7"/>
    <w:rsid w:val="00962ABB"/>
    <w:rsid w:val="00965BFE"/>
    <w:rsid w:val="0096639B"/>
    <w:rsid w:val="00967AAC"/>
    <w:rsid w:val="00971D17"/>
    <w:rsid w:val="00973B6D"/>
    <w:rsid w:val="00974AC4"/>
    <w:rsid w:val="009762E8"/>
    <w:rsid w:val="009772E6"/>
    <w:rsid w:val="009809D6"/>
    <w:rsid w:val="00987545"/>
    <w:rsid w:val="00990A30"/>
    <w:rsid w:val="00990C71"/>
    <w:rsid w:val="009A39BF"/>
    <w:rsid w:val="009B45F2"/>
    <w:rsid w:val="009B7B27"/>
    <w:rsid w:val="009C7424"/>
    <w:rsid w:val="009D0BC4"/>
    <w:rsid w:val="009D10E7"/>
    <w:rsid w:val="009D4C4A"/>
    <w:rsid w:val="009D67DE"/>
    <w:rsid w:val="009D69ED"/>
    <w:rsid w:val="009D6ABC"/>
    <w:rsid w:val="009E0106"/>
    <w:rsid w:val="009E451E"/>
    <w:rsid w:val="009F4B24"/>
    <w:rsid w:val="00A00252"/>
    <w:rsid w:val="00A00688"/>
    <w:rsid w:val="00A01AF1"/>
    <w:rsid w:val="00A04F83"/>
    <w:rsid w:val="00A05BA1"/>
    <w:rsid w:val="00A07CC1"/>
    <w:rsid w:val="00A10161"/>
    <w:rsid w:val="00A15624"/>
    <w:rsid w:val="00A16D85"/>
    <w:rsid w:val="00A21B1C"/>
    <w:rsid w:val="00A30C40"/>
    <w:rsid w:val="00A32CCE"/>
    <w:rsid w:val="00A3487B"/>
    <w:rsid w:val="00A36393"/>
    <w:rsid w:val="00A408C9"/>
    <w:rsid w:val="00A4251D"/>
    <w:rsid w:val="00A46875"/>
    <w:rsid w:val="00A47C9B"/>
    <w:rsid w:val="00A5086E"/>
    <w:rsid w:val="00A50D1F"/>
    <w:rsid w:val="00A6230F"/>
    <w:rsid w:val="00A62F63"/>
    <w:rsid w:val="00A64A1E"/>
    <w:rsid w:val="00A65AA3"/>
    <w:rsid w:val="00A66164"/>
    <w:rsid w:val="00A664A3"/>
    <w:rsid w:val="00A66AA6"/>
    <w:rsid w:val="00A675E9"/>
    <w:rsid w:val="00A72766"/>
    <w:rsid w:val="00A74B27"/>
    <w:rsid w:val="00A7563A"/>
    <w:rsid w:val="00A80CA2"/>
    <w:rsid w:val="00A8246B"/>
    <w:rsid w:val="00A84425"/>
    <w:rsid w:val="00A852C0"/>
    <w:rsid w:val="00A901E3"/>
    <w:rsid w:val="00A925AC"/>
    <w:rsid w:val="00AA05E0"/>
    <w:rsid w:val="00AA15D5"/>
    <w:rsid w:val="00AA3428"/>
    <w:rsid w:val="00AA5E23"/>
    <w:rsid w:val="00AB3140"/>
    <w:rsid w:val="00AB3B12"/>
    <w:rsid w:val="00AC60E9"/>
    <w:rsid w:val="00AD4ADB"/>
    <w:rsid w:val="00AD4C07"/>
    <w:rsid w:val="00AD515D"/>
    <w:rsid w:val="00AD6A82"/>
    <w:rsid w:val="00AD7920"/>
    <w:rsid w:val="00AE0A02"/>
    <w:rsid w:val="00AE1C31"/>
    <w:rsid w:val="00AE3038"/>
    <w:rsid w:val="00AE3712"/>
    <w:rsid w:val="00AE3FE0"/>
    <w:rsid w:val="00AE4A20"/>
    <w:rsid w:val="00AE6C53"/>
    <w:rsid w:val="00AE7B4F"/>
    <w:rsid w:val="00AF00CF"/>
    <w:rsid w:val="00AF0698"/>
    <w:rsid w:val="00AF4F82"/>
    <w:rsid w:val="00B0095F"/>
    <w:rsid w:val="00B035C6"/>
    <w:rsid w:val="00B07D83"/>
    <w:rsid w:val="00B1079F"/>
    <w:rsid w:val="00B31A47"/>
    <w:rsid w:val="00B320F4"/>
    <w:rsid w:val="00B33CD6"/>
    <w:rsid w:val="00B356C2"/>
    <w:rsid w:val="00B37CF0"/>
    <w:rsid w:val="00B42E59"/>
    <w:rsid w:val="00B43080"/>
    <w:rsid w:val="00B44D82"/>
    <w:rsid w:val="00B53082"/>
    <w:rsid w:val="00B54B2B"/>
    <w:rsid w:val="00B5514D"/>
    <w:rsid w:val="00B57D77"/>
    <w:rsid w:val="00B6562C"/>
    <w:rsid w:val="00B66645"/>
    <w:rsid w:val="00B719F6"/>
    <w:rsid w:val="00B8443E"/>
    <w:rsid w:val="00B878E5"/>
    <w:rsid w:val="00B87C0C"/>
    <w:rsid w:val="00B91E52"/>
    <w:rsid w:val="00B948D9"/>
    <w:rsid w:val="00B97F48"/>
    <w:rsid w:val="00BA1351"/>
    <w:rsid w:val="00BB52BF"/>
    <w:rsid w:val="00BC39C3"/>
    <w:rsid w:val="00BD03B5"/>
    <w:rsid w:val="00BD13D2"/>
    <w:rsid w:val="00BD330F"/>
    <w:rsid w:val="00BE5187"/>
    <w:rsid w:val="00C01B4B"/>
    <w:rsid w:val="00C03061"/>
    <w:rsid w:val="00C04520"/>
    <w:rsid w:val="00C07B61"/>
    <w:rsid w:val="00C1156C"/>
    <w:rsid w:val="00C160B6"/>
    <w:rsid w:val="00C20A83"/>
    <w:rsid w:val="00C213AD"/>
    <w:rsid w:val="00C21C06"/>
    <w:rsid w:val="00C2399C"/>
    <w:rsid w:val="00C24CF5"/>
    <w:rsid w:val="00C25C77"/>
    <w:rsid w:val="00C41767"/>
    <w:rsid w:val="00C50447"/>
    <w:rsid w:val="00C64CCD"/>
    <w:rsid w:val="00C657FC"/>
    <w:rsid w:val="00C65AF7"/>
    <w:rsid w:val="00C65CAA"/>
    <w:rsid w:val="00C732F2"/>
    <w:rsid w:val="00C844FC"/>
    <w:rsid w:val="00C84610"/>
    <w:rsid w:val="00C84B08"/>
    <w:rsid w:val="00C9164C"/>
    <w:rsid w:val="00C91FB5"/>
    <w:rsid w:val="00C92D39"/>
    <w:rsid w:val="00C947B7"/>
    <w:rsid w:val="00C958D2"/>
    <w:rsid w:val="00C95E13"/>
    <w:rsid w:val="00CA39E9"/>
    <w:rsid w:val="00CA501B"/>
    <w:rsid w:val="00CA61CF"/>
    <w:rsid w:val="00CB59C8"/>
    <w:rsid w:val="00CB76A9"/>
    <w:rsid w:val="00CC1793"/>
    <w:rsid w:val="00CC25F1"/>
    <w:rsid w:val="00CC4B60"/>
    <w:rsid w:val="00CC7213"/>
    <w:rsid w:val="00CD17D4"/>
    <w:rsid w:val="00CD579C"/>
    <w:rsid w:val="00CD6526"/>
    <w:rsid w:val="00CD6DB6"/>
    <w:rsid w:val="00CD7073"/>
    <w:rsid w:val="00CE0EC4"/>
    <w:rsid w:val="00CE35E1"/>
    <w:rsid w:val="00CE420B"/>
    <w:rsid w:val="00CE5812"/>
    <w:rsid w:val="00CE5897"/>
    <w:rsid w:val="00CE6604"/>
    <w:rsid w:val="00CE6BBB"/>
    <w:rsid w:val="00CF4F5E"/>
    <w:rsid w:val="00CF6B05"/>
    <w:rsid w:val="00D0232F"/>
    <w:rsid w:val="00D02D03"/>
    <w:rsid w:val="00D058A6"/>
    <w:rsid w:val="00D05C72"/>
    <w:rsid w:val="00D13157"/>
    <w:rsid w:val="00D161F5"/>
    <w:rsid w:val="00D1635A"/>
    <w:rsid w:val="00D177CF"/>
    <w:rsid w:val="00D2103E"/>
    <w:rsid w:val="00D23833"/>
    <w:rsid w:val="00D27402"/>
    <w:rsid w:val="00D32751"/>
    <w:rsid w:val="00D415D0"/>
    <w:rsid w:val="00D43099"/>
    <w:rsid w:val="00D562A6"/>
    <w:rsid w:val="00D60C93"/>
    <w:rsid w:val="00D65DA4"/>
    <w:rsid w:val="00D6679D"/>
    <w:rsid w:val="00D7433E"/>
    <w:rsid w:val="00D75946"/>
    <w:rsid w:val="00D82684"/>
    <w:rsid w:val="00D830AF"/>
    <w:rsid w:val="00D85639"/>
    <w:rsid w:val="00D86B57"/>
    <w:rsid w:val="00D93A81"/>
    <w:rsid w:val="00D968B4"/>
    <w:rsid w:val="00DA29F0"/>
    <w:rsid w:val="00DA42E3"/>
    <w:rsid w:val="00DB3E65"/>
    <w:rsid w:val="00DB5E65"/>
    <w:rsid w:val="00DC3F71"/>
    <w:rsid w:val="00DC54FF"/>
    <w:rsid w:val="00DC5B79"/>
    <w:rsid w:val="00DC5E7B"/>
    <w:rsid w:val="00DE155F"/>
    <w:rsid w:val="00DE4E76"/>
    <w:rsid w:val="00DE708F"/>
    <w:rsid w:val="00DF34F7"/>
    <w:rsid w:val="00DF52D0"/>
    <w:rsid w:val="00DF715F"/>
    <w:rsid w:val="00DF74BA"/>
    <w:rsid w:val="00DF7A97"/>
    <w:rsid w:val="00E041F8"/>
    <w:rsid w:val="00E07D89"/>
    <w:rsid w:val="00E10A7F"/>
    <w:rsid w:val="00E22DF6"/>
    <w:rsid w:val="00E24D51"/>
    <w:rsid w:val="00E2759C"/>
    <w:rsid w:val="00E33478"/>
    <w:rsid w:val="00E34144"/>
    <w:rsid w:val="00E46411"/>
    <w:rsid w:val="00E53061"/>
    <w:rsid w:val="00E6038A"/>
    <w:rsid w:val="00E62C71"/>
    <w:rsid w:val="00E7080E"/>
    <w:rsid w:val="00E811B1"/>
    <w:rsid w:val="00E81485"/>
    <w:rsid w:val="00E8307C"/>
    <w:rsid w:val="00E86641"/>
    <w:rsid w:val="00E86644"/>
    <w:rsid w:val="00E91335"/>
    <w:rsid w:val="00E92503"/>
    <w:rsid w:val="00E970A4"/>
    <w:rsid w:val="00E97309"/>
    <w:rsid w:val="00EA5AAD"/>
    <w:rsid w:val="00EB19C0"/>
    <w:rsid w:val="00EB5D5A"/>
    <w:rsid w:val="00EC0CBC"/>
    <w:rsid w:val="00ED2468"/>
    <w:rsid w:val="00ED48FC"/>
    <w:rsid w:val="00ED783E"/>
    <w:rsid w:val="00F012E2"/>
    <w:rsid w:val="00F142A2"/>
    <w:rsid w:val="00F153F4"/>
    <w:rsid w:val="00F17CB9"/>
    <w:rsid w:val="00F30F95"/>
    <w:rsid w:val="00F3119A"/>
    <w:rsid w:val="00F32093"/>
    <w:rsid w:val="00F325E3"/>
    <w:rsid w:val="00F33739"/>
    <w:rsid w:val="00F36F6A"/>
    <w:rsid w:val="00F37A4B"/>
    <w:rsid w:val="00F42166"/>
    <w:rsid w:val="00F44675"/>
    <w:rsid w:val="00F62DD5"/>
    <w:rsid w:val="00F662E1"/>
    <w:rsid w:val="00F73C66"/>
    <w:rsid w:val="00F766E5"/>
    <w:rsid w:val="00F7677D"/>
    <w:rsid w:val="00F76D86"/>
    <w:rsid w:val="00F835C8"/>
    <w:rsid w:val="00F85C7B"/>
    <w:rsid w:val="00F94AE1"/>
    <w:rsid w:val="00F94C18"/>
    <w:rsid w:val="00F95201"/>
    <w:rsid w:val="00FA0ED1"/>
    <w:rsid w:val="00FA3A7C"/>
    <w:rsid w:val="00FA5A45"/>
    <w:rsid w:val="00FA6A2E"/>
    <w:rsid w:val="00FB3F47"/>
    <w:rsid w:val="00FB61B6"/>
    <w:rsid w:val="00FB6802"/>
    <w:rsid w:val="00FC1E73"/>
    <w:rsid w:val="00FC22CC"/>
    <w:rsid w:val="00FD2E74"/>
    <w:rsid w:val="00FD4C6C"/>
    <w:rsid w:val="00FE2CE3"/>
    <w:rsid w:val="00FF5494"/>
    <w:rsid w:val="00FF606F"/>
    <w:rsid w:val="00FF7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5065A"/>
  <w15:docId w15:val="{E1C4AFF7-96B8-4B66-A815-77DF3EC4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147"/>
  </w:style>
  <w:style w:type="paragraph" w:styleId="Footer">
    <w:name w:val="footer"/>
    <w:basedOn w:val="Normal"/>
    <w:link w:val="FooterChar"/>
    <w:uiPriority w:val="99"/>
    <w:unhideWhenUsed/>
    <w:rsid w:val="00251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147"/>
  </w:style>
  <w:style w:type="paragraph" w:styleId="BalloonText">
    <w:name w:val="Balloon Text"/>
    <w:basedOn w:val="Normal"/>
    <w:link w:val="BalloonTextChar"/>
    <w:uiPriority w:val="99"/>
    <w:semiHidden/>
    <w:unhideWhenUsed/>
    <w:rsid w:val="00251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147"/>
    <w:rPr>
      <w:rFonts w:ascii="Tahoma" w:hAnsi="Tahoma" w:cs="Tahoma"/>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852974"/>
    <w:pPr>
      <w:ind w:left="720"/>
      <w:contextualSpacing/>
    </w:pPr>
  </w:style>
  <w:style w:type="character" w:styleId="Hyperlink">
    <w:name w:val="Hyperlink"/>
    <w:basedOn w:val="DefaultParagraphFont"/>
    <w:uiPriority w:val="99"/>
    <w:unhideWhenUsed/>
    <w:rsid w:val="00A408C9"/>
    <w:rPr>
      <w:color w:val="0000FF" w:themeColor="hyperlink"/>
      <w:u w:val="single"/>
    </w:rPr>
  </w:style>
  <w:style w:type="character" w:customStyle="1" w:styleId="UnresolvedMention1">
    <w:name w:val="Unresolved Mention1"/>
    <w:basedOn w:val="DefaultParagraphFont"/>
    <w:uiPriority w:val="99"/>
    <w:semiHidden/>
    <w:unhideWhenUsed/>
    <w:rsid w:val="00A408C9"/>
    <w:rPr>
      <w:color w:val="605E5C"/>
      <w:shd w:val="clear" w:color="auto" w:fill="E1DFDD"/>
    </w:rPr>
  </w:style>
  <w:style w:type="character" w:styleId="FollowedHyperlink">
    <w:name w:val="FollowedHyperlink"/>
    <w:basedOn w:val="DefaultParagraphFont"/>
    <w:uiPriority w:val="99"/>
    <w:semiHidden/>
    <w:unhideWhenUsed/>
    <w:rsid w:val="00A408C9"/>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locked/>
    <w:rsid w:val="00470570"/>
  </w:style>
  <w:style w:type="paragraph" w:styleId="NormalWeb">
    <w:name w:val="Normal (Web)"/>
    <w:basedOn w:val="Normal"/>
    <w:uiPriority w:val="99"/>
    <w:unhideWhenUsed/>
    <w:rsid w:val="00236C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21B61"/>
    <w:pPr>
      <w:spacing w:after="0" w:line="240" w:lineRule="auto"/>
    </w:pPr>
  </w:style>
  <w:style w:type="paragraph" w:customStyle="1" w:styleId="xmsonormal">
    <w:name w:val="x_msonormal"/>
    <w:basedOn w:val="Normal"/>
    <w:rsid w:val="00742B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8217">
      <w:bodyDiv w:val="1"/>
      <w:marLeft w:val="0"/>
      <w:marRight w:val="0"/>
      <w:marTop w:val="0"/>
      <w:marBottom w:val="0"/>
      <w:divBdr>
        <w:top w:val="none" w:sz="0" w:space="0" w:color="auto"/>
        <w:left w:val="none" w:sz="0" w:space="0" w:color="auto"/>
        <w:bottom w:val="none" w:sz="0" w:space="0" w:color="auto"/>
        <w:right w:val="none" w:sz="0" w:space="0" w:color="auto"/>
      </w:divBdr>
    </w:div>
    <w:div w:id="295526958">
      <w:bodyDiv w:val="1"/>
      <w:marLeft w:val="0"/>
      <w:marRight w:val="0"/>
      <w:marTop w:val="0"/>
      <w:marBottom w:val="0"/>
      <w:divBdr>
        <w:top w:val="none" w:sz="0" w:space="0" w:color="auto"/>
        <w:left w:val="none" w:sz="0" w:space="0" w:color="auto"/>
        <w:bottom w:val="none" w:sz="0" w:space="0" w:color="auto"/>
        <w:right w:val="none" w:sz="0" w:space="0" w:color="auto"/>
      </w:divBdr>
    </w:div>
    <w:div w:id="333191881">
      <w:bodyDiv w:val="1"/>
      <w:marLeft w:val="0"/>
      <w:marRight w:val="0"/>
      <w:marTop w:val="0"/>
      <w:marBottom w:val="0"/>
      <w:divBdr>
        <w:top w:val="none" w:sz="0" w:space="0" w:color="auto"/>
        <w:left w:val="none" w:sz="0" w:space="0" w:color="auto"/>
        <w:bottom w:val="none" w:sz="0" w:space="0" w:color="auto"/>
        <w:right w:val="none" w:sz="0" w:space="0" w:color="auto"/>
      </w:divBdr>
    </w:div>
    <w:div w:id="484008764">
      <w:bodyDiv w:val="1"/>
      <w:marLeft w:val="0"/>
      <w:marRight w:val="0"/>
      <w:marTop w:val="0"/>
      <w:marBottom w:val="0"/>
      <w:divBdr>
        <w:top w:val="none" w:sz="0" w:space="0" w:color="auto"/>
        <w:left w:val="none" w:sz="0" w:space="0" w:color="auto"/>
        <w:bottom w:val="none" w:sz="0" w:space="0" w:color="auto"/>
        <w:right w:val="none" w:sz="0" w:space="0" w:color="auto"/>
      </w:divBdr>
    </w:div>
    <w:div w:id="518470943">
      <w:bodyDiv w:val="1"/>
      <w:marLeft w:val="0"/>
      <w:marRight w:val="0"/>
      <w:marTop w:val="0"/>
      <w:marBottom w:val="0"/>
      <w:divBdr>
        <w:top w:val="none" w:sz="0" w:space="0" w:color="auto"/>
        <w:left w:val="none" w:sz="0" w:space="0" w:color="auto"/>
        <w:bottom w:val="none" w:sz="0" w:space="0" w:color="auto"/>
        <w:right w:val="none" w:sz="0" w:space="0" w:color="auto"/>
      </w:divBdr>
    </w:div>
    <w:div w:id="519860371">
      <w:bodyDiv w:val="1"/>
      <w:marLeft w:val="0"/>
      <w:marRight w:val="0"/>
      <w:marTop w:val="0"/>
      <w:marBottom w:val="0"/>
      <w:divBdr>
        <w:top w:val="none" w:sz="0" w:space="0" w:color="auto"/>
        <w:left w:val="none" w:sz="0" w:space="0" w:color="auto"/>
        <w:bottom w:val="none" w:sz="0" w:space="0" w:color="auto"/>
        <w:right w:val="none" w:sz="0" w:space="0" w:color="auto"/>
      </w:divBdr>
    </w:div>
    <w:div w:id="770128158">
      <w:bodyDiv w:val="1"/>
      <w:marLeft w:val="0"/>
      <w:marRight w:val="0"/>
      <w:marTop w:val="0"/>
      <w:marBottom w:val="0"/>
      <w:divBdr>
        <w:top w:val="none" w:sz="0" w:space="0" w:color="auto"/>
        <w:left w:val="none" w:sz="0" w:space="0" w:color="auto"/>
        <w:bottom w:val="none" w:sz="0" w:space="0" w:color="auto"/>
        <w:right w:val="none" w:sz="0" w:space="0" w:color="auto"/>
      </w:divBdr>
    </w:div>
    <w:div w:id="817963279">
      <w:bodyDiv w:val="1"/>
      <w:marLeft w:val="0"/>
      <w:marRight w:val="0"/>
      <w:marTop w:val="0"/>
      <w:marBottom w:val="0"/>
      <w:divBdr>
        <w:top w:val="none" w:sz="0" w:space="0" w:color="auto"/>
        <w:left w:val="none" w:sz="0" w:space="0" w:color="auto"/>
        <w:bottom w:val="none" w:sz="0" w:space="0" w:color="auto"/>
        <w:right w:val="none" w:sz="0" w:space="0" w:color="auto"/>
      </w:divBdr>
    </w:div>
    <w:div w:id="954868534">
      <w:bodyDiv w:val="1"/>
      <w:marLeft w:val="0"/>
      <w:marRight w:val="0"/>
      <w:marTop w:val="0"/>
      <w:marBottom w:val="0"/>
      <w:divBdr>
        <w:top w:val="none" w:sz="0" w:space="0" w:color="auto"/>
        <w:left w:val="none" w:sz="0" w:space="0" w:color="auto"/>
        <w:bottom w:val="none" w:sz="0" w:space="0" w:color="auto"/>
        <w:right w:val="none" w:sz="0" w:space="0" w:color="auto"/>
      </w:divBdr>
    </w:div>
    <w:div w:id="1030299494">
      <w:bodyDiv w:val="1"/>
      <w:marLeft w:val="0"/>
      <w:marRight w:val="0"/>
      <w:marTop w:val="0"/>
      <w:marBottom w:val="0"/>
      <w:divBdr>
        <w:top w:val="none" w:sz="0" w:space="0" w:color="auto"/>
        <w:left w:val="none" w:sz="0" w:space="0" w:color="auto"/>
        <w:bottom w:val="none" w:sz="0" w:space="0" w:color="auto"/>
        <w:right w:val="none" w:sz="0" w:space="0" w:color="auto"/>
      </w:divBdr>
    </w:div>
    <w:div w:id="1103301815">
      <w:bodyDiv w:val="1"/>
      <w:marLeft w:val="0"/>
      <w:marRight w:val="0"/>
      <w:marTop w:val="0"/>
      <w:marBottom w:val="0"/>
      <w:divBdr>
        <w:top w:val="none" w:sz="0" w:space="0" w:color="auto"/>
        <w:left w:val="none" w:sz="0" w:space="0" w:color="auto"/>
        <w:bottom w:val="none" w:sz="0" w:space="0" w:color="auto"/>
        <w:right w:val="none" w:sz="0" w:space="0" w:color="auto"/>
      </w:divBdr>
    </w:div>
    <w:div w:id="1223518790">
      <w:bodyDiv w:val="1"/>
      <w:marLeft w:val="0"/>
      <w:marRight w:val="0"/>
      <w:marTop w:val="0"/>
      <w:marBottom w:val="0"/>
      <w:divBdr>
        <w:top w:val="none" w:sz="0" w:space="0" w:color="auto"/>
        <w:left w:val="none" w:sz="0" w:space="0" w:color="auto"/>
        <w:bottom w:val="none" w:sz="0" w:space="0" w:color="auto"/>
        <w:right w:val="none" w:sz="0" w:space="0" w:color="auto"/>
      </w:divBdr>
    </w:div>
    <w:div w:id="1289123621">
      <w:bodyDiv w:val="1"/>
      <w:marLeft w:val="0"/>
      <w:marRight w:val="0"/>
      <w:marTop w:val="0"/>
      <w:marBottom w:val="0"/>
      <w:divBdr>
        <w:top w:val="none" w:sz="0" w:space="0" w:color="auto"/>
        <w:left w:val="none" w:sz="0" w:space="0" w:color="auto"/>
        <w:bottom w:val="none" w:sz="0" w:space="0" w:color="auto"/>
        <w:right w:val="none" w:sz="0" w:space="0" w:color="auto"/>
      </w:divBdr>
    </w:div>
    <w:div w:id="1571696561">
      <w:bodyDiv w:val="1"/>
      <w:marLeft w:val="0"/>
      <w:marRight w:val="0"/>
      <w:marTop w:val="0"/>
      <w:marBottom w:val="0"/>
      <w:divBdr>
        <w:top w:val="none" w:sz="0" w:space="0" w:color="auto"/>
        <w:left w:val="none" w:sz="0" w:space="0" w:color="auto"/>
        <w:bottom w:val="none" w:sz="0" w:space="0" w:color="auto"/>
        <w:right w:val="none" w:sz="0" w:space="0" w:color="auto"/>
      </w:divBdr>
    </w:div>
    <w:div w:id="1658537305">
      <w:bodyDiv w:val="1"/>
      <w:marLeft w:val="0"/>
      <w:marRight w:val="0"/>
      <w:marTop w:val="0"/>
      <w:marBottom w:val="0"/>
      <w:divBdr>
        <w:top w:val="none" w:sz="0" w:space="0" w:color="auto"/>
        <w:left w:val="none" w:sz="0" w:space="0" w:color="auto"/>
        <w:bottom w:val="none" w:sz="0" w:space="0" w:color="auto"/>
        <w:right w:val="none" w:sz="0" w:space="0" w:color="auto"/>
      </w:divBdr>
    </w:div>
    <w:div w:id="1755977412">
      <w:bodyDiv w:val="1"/>
      <w:marLeft w:val="0"/>
      <w:marRight w:val="0"/>
      <w:marTop w:val="0"/>
      <w:marBottom w:val="0"/>
      <w:divBdr>
        <w:top w:val="none" w:sz="0" w:space="0" w:color="auto"/>
        <w:left w:val="none" w:sz="0" w:space="0" w:color="auto"/>
        <w:bottom w:val="none" w:sz="0" w:space="0" w:color="auto"/>
        <w:right w:val="none" w:sz="0" w:space="0" w:color="auto"/>
      </w:divBdr>
    </w:div>
    <w:div w:id="1789424808">
      <w:bodyDiv w:val="1"/>
      <w:marLeft w:val="0"/>
      <w:marRight w:val="0"/>
      <w:marTop w:val="0"/>
      <w:marBottom w:val="0"/>
      <w:divBdr>
        <w:top w:val="none" w:sz="0" w:space="0" w:color="auto"/>
        <w:left w:val="none" w:sz="0" w:space="0" w:color="auto"/>
        <w:bottom w:val="none" w:sz="0" w:space="0" w:color="auto"/>
        <w:right w:val="none" w:sz="0" w:space="0" w:color="auto"/>
      </w:divBdr>
    </w:div>
    <w:div w:id="1966737139">
      <w:bodyDiv w:val="1"/>
      <w:marLeft w:val="0"/>
      <w:marRight w:val="0"/>
      <w:marTop w:val="0"/>
      <w:marBottom w:val="0"/>
      <w:divBdr>
        <w:top w:val="none" w:sz="0" w:space="0" w:color="auto"/>
        <w:left w:val="none" w:sz="0" w:space="0" w:color="auto"/>
        <w:bottom w:val="none" w:sz="0" w:space="0" w:color="auto"/>
        <w:right w:val="none" w:sz="0" w:space="0" w:color="auto"/>
      </w:divBdr>
      <w:divsChild>
        <w:div w:id="1638607692">
          <w:marLeft w:val="0"/>
          <w:marRight w:val="0"/>
          <w:marTop w:val="0"/>
          <w:marBottom w:val="0"/>
          <w:divBdr>
            <w:top w:val="none" w:sz="0" w:space="0" w:color="auto"/>
            <w:left w:val="none" w:sz="0" w:space="0" w:color="auto"/>
            <w:bottom w:val="none" w:sz="0" w:space="0" w:color="auto"/>
            <w:right w:val="none" w:sz="0" w:space="0" w:color="auto"/>
          </w:divBdr>
        </w:div>
        <w:div w:id="505365420">
          <w:marLeft w:val="0"/>
          <w:marRight w:val="0"/>
          <w:marTop w:val="0"/>
          <w:marBottom w:val="0"/>
          <w:divBdr>
            <w:top w:val="none" w:sz="0" w:space="0" w:color="auto"/>
            <w:left w:val="none" w:sz="0" w:space="0" w:color="auto"/>
            <w:bottom w:val="none" w:sz="0" w:space="0" w:color="auto"/>
            <w:right w:val="none" w:sz="0" w:space="0" w:color="auto"/>
          </w:divBdr>
        </w:div>
        <w:div w:id="11090120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343B2F6BAD0A4BBDACE34D99A0EEDE" ma:contentTypeVersion="7" ma:contentTypeDescription="Create a new document." ma:contentTypeScope="" ma:versionID="108167a38a90d18eba6ec682ca95a6a9">
  <xsd:schema xmlns:xsd="http://www.w3.org/2001/XMLSchema" xmlns:xs="http://www.w3.org/2001/XMLSchema" xmlns:p="http://schemas.microsoft.com/office/2006/metadata/properties" xmlns:ns3="b0f4a54c-a409-44a3-b7a3-4d54bc6b0b28" xmlns:ns4="cc2b80bf-5b7d-40b6-91b7-03f49ee90a97" targetNamespace="http://schemas.microsoft.com/office/2006/metadata/properties" ma:root="true" ma:fieldsID="f26f035ec7146b64b3bf74941161a525" ns3:_="" ns4:_="">
    <xsd:import namespace="b0f4a54c-a409-44a3-b7a3-4d54bc6b0b28"/>
    <xsd:import namespace="cc2b80bf-5b7d-40b6-91b7-03f49ee90a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4a54c-a409-44a3-b7a3-4d54bc6b0b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2b80bf-5b7d-40b6-91b7-03f49ee90a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AB6AD9-463B-4480-B5B8-14E8DD647767}">
  <ds:schemaRefs>
    <ds:schemaRef ds:uri="http://schemas.microsoft.com/sharepoint/v3/contenttype/forms"/>
  </ds:schemaRefs>
</ds:datastoreItem>
</file>

<file path=customXml/itemProps2.xml><?xml version="1.0" encoding="utf-8"?>
<ds:datastoreItem xmlns:ds="http://schemas.openxmlformats.org/officeDocument/2006/customXml" ds:itemID="{3DF6036F-E9E3-4E88-8079-6E824636E4DC}">
  <ds:schemaRefs>
    <ds:schemaRef ds:uri="http://schemas.openxmlformats.org/officeDocument/2006/bibliography"/>
  </ds:schemaRefs>
</ds:datastoreItem>
</file>

<file path=customXml/itemProps3.xml><?xml version="1.0" encoding="utf-8"?>
<ds:datastoreItem xmlns:ds="http://schemas.openxmlformats.org/officeDocument/2006/customXml" ds:itemID="{34E46E19-1DD3-4257-BB7E-02BCB3CF0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4a54c-a409-44a3-b7a3-4d54bc6b0b28"/>
    <ds:schemaRef ds:uri="cc2b80bf-5b7d-40b6-91b7-03f49ee90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ECF67-F9C5-48BC-9D31-2492027330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DPF Assurance Committee</vt:lpstr>
    </vt:vector>
  </TitlesOfParts>
  <Company>York Teaching Hospitals NHS Foundation Trust</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DPF Assurance Committee</dc:title>
  <dc:subject/>
  <dc:creator>Lynne Mellor</dc:creator>
  <cp:keywords/>
  <dc:description/>
  <cp:lastModifiedBy>MELLOR, Lynne (YORK AND SCARBOROUGH TEACHING HOSPITALS NHS FOUNDATION TRUST)</cp:lastModifiedBy>
  <cp:revision>8</cp:revision>
  <cp:lastPrinted>2020-01-21T08:31:00Z</cp:lastPrinted>
  <dcterms:created xsi:type="dcterms:W3CDTF">2023-03-23T16:51:00Z</dcterms:created>
  <dcterms:modified xsi:type="dcterms:W3CDTF">2023-03-23T21:10:00Z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0x010100AC343B2F6BAD0A4BBDACE34D99A0EEDE</vt:lpwstr>
  </property>
</Properties>
</file>