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EB98" w14:textId="185849A2" w:rsidR="005155CB" w:rsidRPr="005D0CF4" w:rsidRDefault="007B0276" w:rsidP="007B0276">
      <w:pPr>
        <w:jc w:val="center"/>
        <w:rPr>
          <w:rFonts w:ascii="Arial" w:hAnsi="Arial" w:cs="Arial"/>
          <w:b/>
          <w:bCs/>
          <w:sz w:val="28"/>
          <w:szCs w:val="28"/>
        </w:rPr>
      </w:pPr>
      <w:r w:rsidRPr="005D0CF4">
        <w:rPr>
          <w:rFonts w:ascii="Arial" w:hAnsi="Arial" w:cs="Arial"/>
          <w:b/>
          <w:bCs/>
          <w:noProof/>
          <w:sz w:val="28"/>
          <w:szCs w:val="28"/>
          <w:lang w:eastAsia="en-GB"/>
        </w:rPr>
        <w:drawing>
          <wp:anchor distT="0" distB="0" distL="114300" distR="114300" simplePos="0" relativeHeight="251659264" behindDoc="0" locked="0" layoutInCell="1" allowOverlap="1" wp14:anchorId="085AF938" wp14:editId="3411529F">
            <wp:simplePos x="0" y="0"/>
            <wp:positionH relativeFrom="margin">
              <wp:posOffset>7562850</wp:posOffset>
            </wp:positionH>
            <wp:positionV relativeFrom="paragraph">
              <wp:posOffset>0</wp:posOffset>
            </wp:positionV>
            <wp:extent cx="1854200" cy="7105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4200" cy="710565"/>
                    </a:xfrm>
                    <a:prstGeom prst="rect">
                      <a:avLst/>
                    </a:prstGeom>
                  </pic:spPr>
                </pic:pic>
              </a:graphicData>
            </a:graphic>
            <wp14:sizeRelH relativeFrom="margin">
              <wp14:pctWidth>0</wp14:pctWidth>
            </wp14:sizeRelH>
            <wp14:sizeRelV relativeFrom="margin">
              <wp14:pctHeight>0</wp14:pctHeight>
            </wp14:sizeRelV>
          </wp:anchor>
        </w:drawing>
      </w:r>
      <w:r w:rsidR="00E33388" w:rsidRPr="005D0CF4">
        <w:rPr>
          <w:rFonts w:ascii="Arial" w:hAnsi="Arial" w:cs="Arial"/>
          <w:b/>
          <w:bCs/>
          <w:noProof/>
          <w:sz w:val="28"/>
          <w:szCs w:val="28"/>
          <w:lang w:eastAsia="en-GB"/>
        </w:rPr>
        <w:t xml:space="preserve">Workforce </w:t>
      </w:r>
      <w:r w:rsidR="00DA2F68">
        <w:rPr>
          <w:rFonts w:ascii="Arial" w:hAnsi="Arial" w:cs="Arial"/>
          <w:b/>
          <w:bCs/>
          <w:noProof/>
          <w:sz w:val="28"/>
          <w:szCs w:val="28"/>
          <w:lang w:eastAsia="en-GB"/>
        </w:rPr>
        <w:t xml:space="preserve">Disability </w:t>
      </w:r>
      <w:r w:rsidR="00E33388" w:rsidRPr="005D0CF4">
        <w:rPr>
          <w:rFonts w:ascii="Arial" w:hAnsi="Arial" w:cs="Arial"/>
          <w:b/>
          <w:bCs/>
          <w:noProof/>
          <w:sz w:val="28"/>
          <w:szCs w:val="28"/>
          <w:lang w:eastAsia="en-GB"/>
        </w:rPr>
        <w:t>Equality Standard</w:t>
      </w:r>
      <w:r w:rsidRPr="005D0CF4">
        <w:rPr>
          <w:rFonts w:ascii="Arial" w:hAnsi="Arial" w:cs="Arial"/>
          <w:b/>
          <w:bCs/>
          <w:sz w:val="28"/>
          <w:szCs w:val="28"/>
        </w:rPr>
        <w:t xml:space="preserve"> Action Plan 2</w:t>
      </w:r>
      <w:r w:rsidR="00E9235D" w:rsidRPr="005D0CF4">
        <w:rPr>
          <w:rFonts w:ascii="Arial" w:hAnsi="Arial" w:cs="Arial"/>
          <w:b/>
          <w:bCs/>
          <w:sz w:val="28"/>
          <w:szCs w:val="28"/>
        </w:rPr>
        <w:t>023-202</w:t>
      </w:r>
      <w:r w:rsidR="004E5B1E">
        <w:rPr>
          <w:rFonts w:ascii="Arial" w:hAnsi="Arial" w:cs="Arial"/>
          <w:b/>
          <w:bCs/>
          <w:sz w:val="28"/>
          <w:szCs w:val="28"/>
        </w:rPr>
        <w:t>5</w:t>
      </w:r>
    </w:p>
    <w:p w14:paraId="3A6B26A8" w14:textId="3BB6DB9D" w:rsidR="00B14E88" w:rsidRDefault="00B14E88" w:rsidP="007B0276">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2243"/>
        <w:gridCol w:w="2378"/>
      </w:tblGrid>
      <w:tr w:rsidR="00B14E88" w14:paraId="45494574" w14:textId="77777777" w:rsidTr="00CF6213">
        <w:trPr>
          <w:trHeight w:val="282"/>
        </w:trPr>
        <w:tc>
          <w:tcPr>
            <w:tcW w:w="2243" w:type="dxa"/>
            <w:shd w:val="clear" w:color="auto" w:fill="FF0000"/>
          </w:tcPr>
          <w:p w14:paraId="49DBD02B" w14:textId="1A573DAF" w:rsidR="00B14E88" w:rsidRPr="00B14E88" w:rsidRDefault="00B14E88" w:rsidP="00B14E88">
            <w:pPr>
              <w:rPr>
                <w:rFonts w:ascii="Arial" w:hAnsi="Arial" w:cs="Arial"/>
                <w:sz w:val="24"/>
                <w:szCs w:val="24"/>
              </w:rPr>
            </w:pPr>
            <w:r>
              <w:rPr>
                <w:rFonts w:ascii="Arial" w:hAnsi="Arial" w:cs="Arial"/>
                <w:sz w:val="24"/>
                <w:szCs w:val="24"/>
              </w:rPr>
              <w:t>Red</w:t>
            </w:r>
          </w:p>
        </w:tc>
        <w:tc>
          <w:tcPr>
            <w:tcW w:w="2378" w:type="dxa"/>
          </w:tcPr>
          <w:p w14:paraId="10CDE14F" w14:textId="321C7B8A" w:rsidR="00B14E88" w:rsidRPr="00B14E88" w:rsidRDefault="00B14E88" w:rsidP="00B14E88">
            <w:pPr>
              <w:rPr>
                <w:rFonts w:ascii="Arial" w:hAnsi="Arial" w:cs="Arial"/>
                <w:sz w:val="24"/>
                <w:szCs w:val="24"/>
              </w:rPr>
            </w:pPr>
            <w:r>
              <w:rPr>
                <w:rFonts w:ascii="Arial" w:hAnsi="Arial" w:cs="Arial"/>
                <w:sz w:val="24"/>
                <w:szCs w:val="24"/>
              </w:rPr>
              <w:t>Not yet begun</w:t>
            </w:r>
          </w:p>
        </w:tc>
      </w:tr>
      <w:tr w:rsidR="00B14E88" w14:paraId="6A7292D0" w14:textId="77777777" w:rsidTr="00CF6213">
        <w:trPr>
          <w:trHeight w:val="282"/>
        </w:trPr>
        <w:tc>
          <w:tcPr>
            <w:tcW w:w="2243" w:type="dxa"/>
            <w:shd w:val="clear" w:color="auto" w:fill="FFC000"/>
          </w:tcPr>
          <w:p w14:paraId="26FA3DFF" w14:textId="3E647ABB" w:rsidR="00B14E88" w:rsidRPr="00B14E88" w:rsidRDefault="00B14E88" w:rsidP="00B14E88">
            <w:pPr>
              <w:rPr>
                <w:rFonts w:ascii="Arial" w:hAnsi="Arial" w:cs="Arial"/>
                <w:sz w:val="24"/>
                <w:szCs w:val="24"/>
              </w:rPr>
            </w:pPr>
            <w:r>
              <w:rPr>
                <w:rFonts w:ascii="Arial" w:hAnsi="Arial" w:cs="Arial"/>
                <w:sz w:val="24"/>
                <w:szCs w:val="24"/>
              </w:rPr>
              <w:t>Amber</w:t>
            </w:r>
          </w:p>
        </w:tc>
        <w:tc>
          <w:tcPr>
            <w:tcW w:w="2378" w:type="dxa"/>
          </w:tcPr>
          <w:p w14:paraId="692924B8" w14:textId="416DB173" w:rsidR="00B14E88" w:rsidRPr="00B14E88" w:rsidRDefault="00B14E88" w:rsidP="00B14E88">
            <w:pPr>
              <w:rPr>
                <w:rFonts w:ascii="Arial" w:hAnsi="Arial" w:cs="Arial"/>
                <w:sz w:val="24"/>
                <w:szCs w:val="24"/>
              </w:rPr>
            </w:pPr>
            <w:r>
              <w:rPr>
                <w:rFonts w:ascii="Arial" w:hAnsi="Arial" w:cs="Arial"/>
                <w:sz w:val="24"/>
                <w:szCs w:val="24"/>
              </w:rPr>
              <w:t>Begun but not complete</w:t>
            </w:r>
          </w:p>
        </w:tc>
      </w:tr>
      <w:tr w:rsidR="00B14E88" w14:paraId="41534816" w14:textId="77777777" w:rsidTr="00CF6213">
        <w:trPr>
          <w:trHeight w:val="282"/>
        </w:trPr>
        <w:tc>
          <w:tcPr>
            <w:tcW w:w="2243" w:type="dxa"/>
            <w:shd w:val="clear" w:color="auto" w:fill="92D050"/>
          </w:tcPr>
          <w:p w14:paraId="48772BF3" w14:textId="0C3BB17D" w:rsidR="00B14E88" w:rsidRPr="00B14E88" w:rsidRDefault="00B14E88" w:rsidP="00B14E88">
            <w:pPr>
              <w:rPr>
                <w:rFonts w:ascii="Arial" w:hAnsi="Arial" w:cs="Arial"/>
                <w:sz w:val="24"/>
                <w:szCs w:val="24"/>
              </w:rPr>
            </w:pPr>
            <w:r w:rsidRPr="00B14E88">
              <w:rPr>
                <w:rFonts w:ascii="Arial" w:hAnsi="Arial" w:cs="Arial"/>
                <w:sz w:val="24"/>
                <w:szCs w:val="24"/>
              </w:rPr>
              <w:t>Green</w:t>
            </w:r>
          </w:p>
        </w:tc>
        <w:tc>
          <w:tcPr>
            <w:tcW w:w="2378" w:type="dxa"/>
          </w:tcPr>
          <w:p w14:paraId="1EDDE2D2" w14:textId="57535AAD" w:rsidR="00B14E88" w:rsidRPr="00B14E88" w:rsidRDefault="00B14E88" w:rsidP="00B14E88">
            <w:pPr>
              <w:rPr>
                <w:rFonts w:ascii="Arial" w:hAnsi="Arial" w:cs="Arial"/>
                <w:sz w:val="24"/>
                <w:szCs w:val="24"/>
              </w:rPr>
            </w:pPr>
            <w:r>
              <w:rPr>
                <w:rFonts w:ascii="Arial" w:hAnsi="Arial" w:cs="Arial"/>
                <w:sz w:val="24"/>
                <w:szCs w:val="24"/>
              </w:rPr>
              <w:t>Complete</w:t>
            </w:r>
          </w:p>
        </w:tc>
      </w:tr>
      <w:tr w:rsidR="00B14E88" w14:paraId="42186EB7" w14:textId="77777777" w:rsidTr="00CF6213">
        <w:trPr>
          <w:trHeight w:val="282"/>
        </w:trPr>
        <w:tc>
          <w:tcPr>
            <w:tcW w:w="2243" w:type="dxa"/>
            <w:shd w:val="clear" w:color="auto" w:fill="00B0F0"/>
          </w:tcPr>
          <w:p w14:paraId="33015DDE" w14:textId="1CBD258A" w:rsidR="00B14E88" w:rsidRPr="00B14E88" w:rsidRDefault="00B14E88" w:rsidP="00B14E88">
            <w:pPr>
              <w:rPr>
                <w:rFonts w:ascii="Arial" w:hAnsi="Arial" w:cs="Arial"/>
                <w:sz w:val="24"/>
                <w:szCs w:val="24"/>
              </w:rPr>
            </w:pPr>
            <w:r w:rsidRPr="00B14E88">
              <w:rPr>
                <w:rFonts w:ascii="Arial" w:hAnsi="Arial" w:cs="Arial"/>
                <w:sz w:val="24"/>
                <w:szCs w:val="24"/>
              </w:rPr>
              <w:t>Blue</w:t>
            </w:r>
          </w:p>
        </w:tc>
        <w:tc>
          <w:tcPr>
            <w:tcW w:w="2378" w:type="dxa"/>
          </w:tcPr>
          <w:p w14:paraId="567ADA60" w14:textId="7229ECB2" w:rsidR="00B14E88" w:rsidRPr="00B14E88" w:rsidRDefault="00B14E88" w:rsidP="00B14E88">
            <w:pPr>
              <w:rPr>
                <w:rFonts w:ascii="Arial" w:hAnsi="Arial" w:cs="Arial"/>
                <w:sz w:val="24"/>
                <w:szCs w:val="24"/>
              </w:rPr>
            </w:pPr>
            <w:r>
              <w:rPr>
                <w:rFonts w:ascii="Arial" w:hAnsi="Arial" w:cs="Arial"/>
                <w:sz w:val="24"/>
                <w:szCs w:val="24"/>
              </w:rPr>
              <w:t>New</w:t>
            </w:r>
          </w:p>
        </w:tc>
      </w:tr>
    </w:tbl>
    <w:p w14:paraId="1ABEBAED" w14:textId="6594741C" w:rsidR="00B14E88" w:rsidRDefault="00B14E88" w:rsidP="00B14E88">
      <w:pPr>
        <w:rPr>
          <w:rFonts w:ascii="Arial" w:hAnsi="Arial" w:cs="Arial"/>
          <w:b/>
          <w:bCs/>
          <w:sz w:val="24"/>
          <w:szCs w:val="24"/>
        </w:rPr>
      </w:pPr>
    </w:p>
    <w:p w14:paraId="62F129F4" w14:textId="2DC1DC99" w:rsidR="00F8164D" w:rsidRPr="004A3863" w:rsidRDefault="00F8164D" w:rsidP="00F8164D">
      <w:pPr>
        <w:rPr>
          <w:rFonts w:ascii="Arial" w:hAnsi="Arial" w:cs="Arial"/>
          <w:sz w:val="24"/>
          <w:szCs w:val="24"/>
        </w:rPr>
      </w:pPr>
      <w:r>
        <w:rPr>
          <w:rFonts w:ascii="Arial" w:hAnsi="Arial" w:cs="Arial"/>
          <w:b/>
          <w:bCs/>
          <w:sz w:val="24"/>
          <w:szCs w:val="24"/>
        </w:rPr>
        <w:t xml:space="preserve">Author: </w:t>
      </w:r>
      <w:r w:rsidRPr="004A3863">
        <w:rPr>
          <w:rFonts w:ascii="Arial" w:hAnsi="Arial" w:cs="Arial"/>
          <w:sz w:val="24"/>
          <w:szCs w:val="24"/>
        </w:rPr>
        <w:t>Head of Equality, Diversity and Inclusion</w:t>
      </w:r>
    </w:p>
    <w:p w14:paraId="58E3600A" w14:textId="080F0250" w:rsidR="00F8164D" w:rsidRDefault="00F8164D" w:rsidP="00F8164D">
      <w:pPr>
        <w:rPr>
          <w:rFonts w:ascii="Arial" w:hAnsi="Arial" w:cs="Arial"/>
          <w:b/>
          <w:bCs/>
          <w:sz w:val="24"/>
          <w:szCs w:val="24"/>
        </w:rPr>
      </w:pPr>
      <w:r>
        <w:rPr>
          <w:rFonts w:ascii="Arial" w:hAnsi="Arial" w:cs="Arial"/>
          <w:b/>
          <w:bCs/>
          <w:sz w:val="24"/>
          <w:szCs w:val="24"/>
        </w:rPr>
        <w:t xml:space="preserve">Senior Responsible Officer:  </w:t>
      </w:r>
      <w:r w:rsidRPr="004A3863">
        <w:rPr>
          <w:rFonts w:ascii="Arial" w:hAnsi="Arial" w:cs="Arial"/>
          <w:sz w:val="24"/>
          <w:szCs w:val="24"/>
        </w:rPr>
        <w:t>Director of Workforce and Organisation Development</w:t>
      </w:r>
    </w:p>
    <w:p w14:paraId="25E836C7" w14:textId="2879D803" w:rsidR="00F8164D" w:rsidRDefault="00F8164D" w:rsidP="00F8164D">
      <w:pPr>
        <w:rPr>
          <w:rFonts w:ascii="Arial" w:hAnsi="Arial" w:cs="Arial"/>
          <w:b/>
          <w:bCs/>
          <w:sz w:val="24"/>
          <w:szCs w:val="24"/>
        </w:rPr>
      </w:pPr>
      <w:r>
        <w:rPr>
          <w:rFonts w:ascii="Arial" w:hAnsi="Arial" w:cs="Arial"/>
          <w:b/>
          <w:bCs/>
          <w:sz w:val="24"/>
          <w:szCs w:val="24"/>
        </w:rPr>
        <w:t xml:space="preserve">Publish Date: </w:t>
      </w:r>
      <w:r w:rsidRPr="004A3863">
        <w:rPr>
          <w:rFonts w:ascii="Arial" w:hAnsi="Arial" w:cs="Arial"/>
          <w:sz w:val="24"/>
          <w:szCs w:val="24"/>
        </w:rPr>
        <w:t>31 October 2023</w:t>
      </w:r>
    </w:p>
    <w:p w14:paraId="66937300" w14:textId="4ED72477" w:rsidR="002F3F37" w:rsidRDefault="00395E6E" w:rsidP="00B14E88">
      <w:pPr>
        <w:rPr>
          <w:rFonts w:ascii="Arial" w:hAnsi="Arial" w:cs="Arial"/>
          <w:sz w:val="24"/>
          <w:szCs w:val="24"/>
        </w:rPr>
      </w:pPr>
      <w:r w:rsidRPr="00F8164D">
        <w:rPr>
          <w:rFonts w:ascii="Arial" w:hAnsi="Arial" w:cs="Arial"/>
          <w:sz w:val="24"/>
          <w:szCs w:val="24"/>
        </w:rPr>
        <w:t xml:space="preserve">Note: </w:t>
      </w:r>
      <w:r w:rsidR="00DA2F68" w:rsidRPr="00F8164D">
        <w:rPr>
          <w:rFonts w:ascii="Arial" w:hAnsi="Arial" w:cs="Arial"/>
          <w:sz w:val="24"/>
          <w:szCs w:val="24"/>
        </w:rPr>
        <w:t>Disabled</w:t>
      </w:r>
      <w:r w:rsidRPr="00F8164D">
        <w:rPr>
          <w:rFonts w:ascii="Arial" w:hAnsi="Arial" w:cs="Arial"/>
          <w:sz w:val="24"/>
          <w:szCs w:val="24"/>
        </w:rPr>
        <w:t xml:space="preserve"> staff were engaged with via a joint staff network meeting and a survey monkey to obtain </w:t>
      </w:r>
      <w:r w:rsidR="00AC3FF6" w:rsidRPr="00F8164D">
        <w:rPr>
          <w:rFonts w:ascii="Arial" w:hAnsi="Arial" w:cs="Arial"/>
          <w:sz w:val="24"/>
          <w:szCs w:val="24"/>
        </w:rPr>
        <w:t>their</w:t>
      </w:r>
      <w:r w:rsidRPr="00F8164D">
        <w:rPr>
          <w:rFonts w:ascii="Arial" w:hAnsi="Arial" w:cs="Arial"/>
          <w:sz w:val="24"/>
          <w:szCs w:val="24"/>
        </w:rPr>
        <w:t xml:space="preserve"> suggestions on the actions required</w:t>
      </w:r>
      <w:r w:rsidR="00590CC8" w:rsidRPr="00F8164D">
        <w:rPr>
          <w:rFonts w:ascii="Arial" w:hAnsi="Arial" w:cs="Arial"/>
          <w:sz w:val="24"/>
          <w:szCs w:val="24"/>
        </w:rPr>
        <w:t xml:space="preserve">. </w:t>
      </w:r>
      <w:r w:rsidRPr="00F8164D">
        <w:rPr>
          <w:rFonts w:ascii="Arial" w:hAnsi="Arial" w:cs="Arial"/>
          <w:sz w:val="24"/>
          <w:szCs w:val="24"/>
        </w:rPr>
        <w:t>These actions a</w:t>
      </w:r>
      <w:r w:rsidR="00AC3FF6" w:rsidRPr="00F8164D">
        <w:rPr>
          <w:rFonts w:ascii="Arial" w:hAnsi="Arial" w:cs="Arial"/>
          <w:sz w:val="24"/>
          <w:szCs w:val="24"/>
        </w:rPr>
        <w:t>re</w:t>
      </w:r>
      <w:r w:rsidRPr="00F8164D">
        <w:rPr>
          <w:rFonts w:ascii="Arial" w:hAnsi="Arial" w:cs="Arial"/>
          <w:sz w:val="24"/>
          <w:szCs w:val="24"/>
        </w:rPr>
        <w:t xml:space="preserve"> designed to </w:t>
      </w:r>
      <w:r w:rsidR="000E2868" w:rsidRPr="00F8164D">
        <w:rPr>
          <w:rFonts w:ascii="Arial" w:hAnsi="Arial" w:cs="Arial"/>
          <w:sz w:val="24"/>
          <w:szCs w:val="24"/>
        </w:rPr>
        <w:t>address</w:t>
      </w:r>
      <w:r w:rsidRPr="00F8164D">
        <w:rPr>
          <w:rFonts w:ascii="Arial" w:hAnsi="Arial" w:cs="Arial"/>
          <w:sz w:val="24"/>
          <w:szCs w:val="24"/>
        </w:rPr>
        <w:t xml:space="preserve"> the Workforce </w:t>
      </w:r>
      <w:r w:rsidR="00DA2F68" w:rsidRPr="00F8164D">
        <w:rPr>
          <w:rFonts w:ascii="Arial" w:hAnsi="Arial" w:cs="Arial"/>
          <w:sz w:val="24"/>
          <w:szCs w:val="24"/>
        </w:rPr>
        <w:t>Disability</w:t>
      </w:r>
      <w:r w:rsidRPr="00F8164D">
        <w:rPr>
          <w:rFonts w:ascii="Arial" w:hAnsi="Arial" w:cs="Arial"/>
          <w:sz w:val="24"/>
          <w:szCs w:val="24"/>
        </w:rPr>
        <w:t xml:space="preserve"> Equality Standard. </w:t>
      </w:r>
    </w:p>
    <w:p w14:paraId="1A2A4CAC" w14:textId="77777777" w:rsidR="00F8164D" w:rsidRPr="004A3863" w:rsidRDefault="00F8164D" w:rsidP="00F8164D">
      <w:pPr>
        <w:rPr>
          <w:rFonts w:ascii="Arial" w:hAnsi="Arial" w:cs="Arial"/>
          <w:sz w:val="24"/>
          <w:szCs w:val="24"/>
        </w:rPr>
      </w:pPr>
      <w:r w:rsidRPr="004A3863">
        <w:rPr>
          <w:rFonts w:ascii="Arial" w:hAnsi="Arial" w:cs="Arial"/>
          <w:sz w:val="24"/>
          <w:szCs w:val="24"/>
        </w:rPr>
        <w:t xml:space="preserve">Where an action has been given a Green RAG rating to indicate complete, the action, where necessary, will be </w:t>
      </w:r>
      <w:r>
        <w:rPr>
          <w:rFonts w:ascii="Arial" w:hAnsi="Arial" w:cs="Arial"/>
          <w:sz w:val="24"/>
          <w:szCs w:val="24"/>
        </w:rPr>
        <w:t xml:space="preserve">continuously </w:t>
      </w:r>
      <w:r w:rsidRPr="004A3863">
        <w:rPr>
          <w:rFonts w:ascii="Arial" w:hAnsi="Arial" w:cs="Arial"/>
          <w:sz w:val="24"/>
          <w:szCs w:val="24"/>
        </w:rPr>
        <w:t>implemented.</w:t>
      </w:r>
    </w:p>
    <w:tbl>
      <w:tblPr>
        <w:tblStyle w:val="TableGrid"/>
        <w:tblW w:w="13948" w:type="dxa"/>
        <w:tblLook w:val="04A0" w:firstRow="1" w:lastRow="0" w:firstColumn="1" w:lastColumn="0" w:noHBand="0" w:noVBand="1"/>
      </w:tblPr>
      <w:tblGrid>
        <w:gridCol w:w="1897"/>
        <w:gridCol w:w="1827"/>
        <w:gridCol w:w="2605"/>
        <w:gridCol w:w="2004"/>
        <w:gridCol w:w="2100"/>
        <w:gridCol w:w="1658"/>
        <w:gridCol w:w="1857"/>
      </w:tblGrid>
      <w:tr w:rsidR="00641DEC" w14:paraId="42F29E26" w14:textId="77777777" w:rsidTr="00336157">
        <w:tc>
          <w:tcPr>
            <w:tcW w:w="1897" w:type="dxa"/>
          </w:tcPr>
          <w:p w14:paraId="3746AEFA" w14:textId="32510128" w:rsidR="004E5B1E" w:rsidRDefault="004E5B1E" w:rsidP="00B14E88">
            <w:pPr>
              <w:rPr>
                <w:rFonts w:ascii="Arial" w:hAnsi="Arial" w:cs="Arial"/>
                <w:b/>
                <w:bCs/>
                <w:sz w:val="24"/>
                <w:szCs w:val="24"/>
              </w:rPr>
            </w:pPr>
            <w:r>
              <w:rPr>
                <w:rFonts w:ascii="Arial" w:hAnsi="Arial" w:cs="Arial"/>
                <w:b/>
                <w:bCs/>
                <w:sz w:val="24"/>
                <w:szCs w:val="24"/>
              </w:rPr>
              <w:t>Objective</w:t>
            </w:r>
          </w:p>
        </w:tc>
        <w:tc>
          <w:tcPr>
            <w:tcW w:w="1827" w:type="dxa"/>
          </w:tcPr>
          <w:p w14:paraId="2DB372A8" w14:textId="6B571984" w:rsidR="004E5B1E" w:rsidRDefault="004E5B1E" w:rsidP="00B14E88">
            <w:pPr>
              <w:rPr>
                <w:rFonts w:ascii="Arial" w:hAnsi="Arial" w:cs="Arial"/>
                <w:b/>
                <w:bCs/>
                <w:sz w:val="24"/>
                <w:szCs w:val="24"/>
              </w:rPr>
            </w:pPr>
            <w:r>
              <w:rPr>
                <w:rFonts w:ascii="Arial" w:hAnsi="Arial" w:cs="Arial"/>
                <w:b/>
                <w:bCs/>
                <w:sz w:val="24"/>
                <w:szCs w:val="24"/>
              </w:rPr>
              <w:t>Analysis</w:t>
            </w:r>
          </w:p>
        </w:tc>
        <w:tc>
          <w:tcPr>
            <w:tcW w:w="2605" w:type="dxa"/>
          </w:tcPr>
          <w:p w14:paraId="58425598" w14:textId="36E62C01" w:rsidR="004E5B1E" w:rsidRDefault="004E5B1E" w:rsidP="00B14E88">
            <w:pPr>
              <w:rPr>
                <w:rFonts w:ascii="Arial" w:hAnsi="Arial" w:cs="Arial"/>
                <w:b/>
                <w:bCs/>
                <w:sz w:val="24"/>
                <w:szCs w:val="24"/>
              </w:rPr>
            </w:pPr>
            <w:r>
              <w:rPr>
                <w:rFonts w:ascii="Arial" w:hAnsi="Arial" w:cs="Arial"/>
                <w:b/>
                <w:bCs/>
                <w:sz w:val="24"/>
                <w:szCs w:val="24"/>
              </w:rPr>
              <w:t>WRES Action</w:t>
            </w:r>
          </w:p>
        </w:tc>
        <w:tc>
          <w:tcPr>
            <w:tcW w:w="2004" w:type="dxa"/>
          </w:tcPr>
          <w:p w14:paraId="7C45EDFC" w14:textId="081C8994" w:rsidR="004E5B1E" w:rsidRDefault="00164775" w:rsidP="00B14E88">
            <w:pPr>
              <w:rPr>
                <w:rFonts w:ascii="Arial" w:hAnsi="Arial" w:cs="Arial"/>
                <w:b/>
                <w:bCs/>
                <w:sz w:val="24"/>
                <w:szCs w:val="24"/>
              </w:rPr>
            </w:pPr>
            <w:r>
              <w:rPr>
                <w:rFonts w:ascii="Arial" w:hAnsi="Arial" w:cs="Arial"/>
                <w:b/>
                <w:bCs/>
                <w:sz w:val="24"/>
                <w:szCs w:val="24"/>
              </w:rPr>
              <w:t>Executive</w:t>
            </w:r>
          </w:p>
          <w:p w14:paraId="501B3FEC" w14:textId="4629395B" w:rsidR="00164775" w:rsidRDefault="00164775" w:rsidP="00B14E88">
            <w:pPr>
              <w:rPr>
                <w:rFonts w:ascii="Arial" w:hAnsi="Arial" w:cs="Arial"/>
                <w:b/>
                <w:bCs/>
                <w:sz w:val="24"/>
                <w:szCs w:val="24"/>
              </w:rPr>
            </w:pPr>
            <w:r>
              <w:rPr>
                <w:rFonts w:ascii="Arial" w:hAnsi="Arial" w:cs="Arial"/>
                <w:b/>
                <w:bCs/>
                <w:sz w:val="24"/>
                <w:szCs w:val="24"/>
              </w:rPr>
              <w:t>Lead</w:t>
            </w:r>
          </w:p>
        </w:tc>
        <w:tc>
          <w:tcPr>
            <w:tcW w:w="2100" w:type="dxa"/>
          </w:tcPr>
          <w:p w14:paraId="03DA9BC3" w14:textId="4D630E02" w:rsidR="004E5B1E" w:rsidRDefault="00164775" w:rsidP="00B14E88">
            <w:pPr>
              <w:rPr>
                <w:rFonts w:ascii="Arial" w:hAnsi="Arial" w:cs="Arial"/>
                <w:b/>
                <w:bCs/>
                <w:sz w:val="24"/>
                <w:szCs w:val="24"/>
              </w:rPr>
            </w:pPr>
            <w:r>
              <w:rPr>
                <w:rFonts w:ascii="Arial" w:hAnsi="Arial" w:cs="Arial"/>
                <w:b/>
                <w:bCs/>
                <w:sz w:val="24"/>
                <w:szCs w:val="24"/>
              </w:rPr>
              <w:t xml:space="preserve">Operational </w:t>
            </w:r>
            <w:r w:rsidR="004E5B1E">
              <w:rPr>
                <w:rFonts w:ascii="Arial" w:hAnsi="Arial" w:cs="Arial"/>
                <w:b/>
                <w:bCs/>
                <w:sz w:val="24"/>
                <w:szCs w:val="24"/>
              </w:rPr>
              <w:t>Lead</w:t>
            </w:r>
          </w:p>
        </w:tc>
        <w:tc>
          <w:tcPr>
            <w:tcW w:w="1658" w:type="dxa"/>
          </w:tcPr>
          <w:p w14:paraId="3D525AD3" w14:textId="6F947B24" w:rsidR="004E5B1E" w:rsidRDefault="004E5B1E" w:rsidP="00B14E88">
            <w:pPr>
              <w:rPr>
                <w:rFonts w:ascii="Arial" w:hAnsi="Arial" w:cs="Arial"/>
                <w:b/>
                <w:bCs/>
                <w:sz w:val="24"/>
                <w:szCs w:val="24"/>
              </w:rPr>
            </w:pPr>
            <w:r>
              <w:rPr>
                <w:rFonts w:ascii="Arial" w:hAnsi="Arial" w:cs="Arial"/>
                <w:b/>
                <w:bCs/>
                <w:sz w:val="24"/>
                <w:szCs w:val="24"/>
              </w:rPr>
              <w:t>Date</w:t>
            </w:r>
          </w:p>
        </w:tc>
        <w:tc>
          <w:tcPr>
            <w:tcW w:w="1857" w:type="dxa"/>
          </w:tcPr>
          <w:p w14:paraId="53E661AF" w14:textId="77777777" w:rsidR="004E5B1E" w:rsidRDefault="004E5B1E" w:rsidP="00B14E88">
            <w:pPr>
              <w:rPr>
                <w:rFonts w:ascii="Arial" w:hAnsi="Arial" w:cs="Arial"/>
                <w:b/>
                <w:bCs/>
                <w:sz w:val="24"/>
                <w:szCs w:val="24"/>
              </w:rPr>
            </w:pPr>
            <w:r>
              <w:rPr>
                <w:rFonts w:ascii="Arial" w:hAnsi="Arial" w:cs="Arial"/>
                <w:b/>
                <w:bCs/>
                <w:sz w:val="24"/>
                <w:szCs w:val="24"/>
              </w:rPr>
              <w:t xml:space="preserve">RAG </w:t>
            </w:r>
          </w:p>
          <w:p w14:paraId="74963EC2" w14:textId="66CCA517" w:rsidR="004E5B1E" w:rsidRDefault="004E5B1E" w:rsidP="00B14E88">
            <w:pPr>
              <w:rPr>
                <w:rFonts w:ascii="Arial" w:hAnsi="Arial" w:cs="Arial"/>
                <w:b/>
                <w:bCs/>
                <w:sz w:val="24"/>
                <w:szCs w:val="24"/>
              </w:rPr>
            </w:pPr>
            <w:r>
              <w:rPr>
                <w:rFonts w:ascii="Arial" w:hAnsi="Arial" w:cs="Arial"/>
                <w:b/>
                <w:bCs/>
                <w:sz w:val="24"/>
                <w:szCs w:val="24"/>
              </w:rPr>
              <w:t>Rating</w:t>
            </w:r>
          </w:p>
        </w:tc>
      </w:tr>
      <w:tr w:rsidR="00F8164D" w14:paraId="0BB7BF23" w14:textId="77777777" w:rsidTr="009E5CCE">
        <w:tc>
          <w:tcPr>
            <w:tcW w:w="13948" w:type="dxa"/>
            <w:gridSpan w:val="7"/>
            <w:shd w:val="clear" w:color="auto" w:fill="BDD6EE" w:themeFill="accent5" w:themeFillTint="66"/>
          </w:tcPr>
          <w:p w14:paraId="1B09F3E3" w14:textId="40702AC2" w:rsidR="00F8164D" w:rsidRDefault="00F8164D" w:rsidP="00DA2F68">
            <w:pPr>
              <w:ind w:left="1440" w:hanging="1440"/>
              <w:rPr>
                <w:rFonts w:ascii="Arial" w:hAnsi="Arial" w:cs="Arial"/>
                <w:b/>
                <w:bCs/>
                <w:sz w:val="24"/>
                <w:szCs w:val="24"/>
              </w:rPr>
            </w:pPr>
            <w:r>
              <w:rPr>
                <w:rFonts w:ascii="Arial" w:hAnsi="Arial" w:cs="Arial"/>
                <w:b/>
                <w:bCs/>
                <w:sz w:val="24"/>
                <w:szCs w:val="24"/>
              </w:rPr>
              <w:t xml:space="preserve">WDES Indicator 1 </w:t>
            </w:r>
            <w:r w:rsidRPr="00DA2F68">
              <w:rPr>
                <w:rFonts w:ascii="Arial" w:hAnsi="Arial" w:cs="Arial"/>
                <w:b/>
                <w:bCs/>
                <w:sz w:val="24"/>
                <w:szCs w:val="24"/>
              </w:rPr>
              <w:t xml:space="preserve">Staff in </w:t>
            </w:r>
            <w:proofErr w:type="spellStart"/>
            <w:r w:rsidRPr="00DA2F68">
              <w:rPr>
                <w:rFonts w:ascii="Arial" w:hAnsi="Arial" w:cs="Arial"/>
                <w:b/>
                <w:bCs/>
                <w:sz w:val="24"/>
                <w:szCs w:val="24"/>
              </w:rPr>
              <w:t>AfC</w:t>
            </w:r>
            <w:proofErr w:type="spellEnd"/>
            <w:r w:rsidRPr="00DA2F68">
              <w:rPr>
                <w:rFonts w:ascii="Arial" w:hAnsi="Arial" w:cs="Arial"/>
                <w:b/>
                <w:bCs/>
                <w:sz w:val="24"/>
                <w:szCs w:val="24"/>
              </w:rPr>
              <w:t xml:space="preserve"> pay bands or medical and dental subgroups and very senior managers</w:t>
            </w:r>
          </w:p>
          <w:p w14:paraId="3F12812B" w14:textId="22F89BBC" w:rsidR="00F8164D" w:rsidRPr="00DA2F68" w:rsidRDefault="00F8164D" w:rsidP="00DA2F68">
            <w:pPr>
              <w:ind w:left="1440" w:hanging="1440"/>
              <w:rPr>
                <w:rFonts w:ascii="Arial" w:hAnsi="Arial" w:cs="Arial"/>
                <w:b/>
                <w:bCs/>
                <w:sz w:val="24"/>
                <w:szCs w:val="24"/>
              </w:rPr>
            </w:pPr>
            <w:r w:rsidRPr="00DA2F68">
              <w:rPr>
                <w:rFonts w:ascii="Arial" w:hAnsi="Arial" w:cs="Arial"/>
                <w:b/>
                <w:bCs/>
                <w:sz w:val="24"/>
                <w:szCs w:val="24"/>
              </w:rPr>
              <w:t>(Including Executive</w:t>
            </w:r>
            <w:r>
              <w:rPr>
                <w:rFonts w:ascii="Arial" w:hAnsi="Arial" w:cs="Arial"/>
                <w:b/>
                <w:bCs/>
                <w:sz w:val="24"/>
                <w:szCs w:val="24"/>
              </w:rPr>
              <w:t xml:space="preserve"> </w:t>
            </w:r>
            <w:r w:rsidRPr="00DA2F68">
              <w:rPr>
                <w:rFonts w:ascii="Arial" w:hAnsi="Arial" w:cs="Arial"/>
                <w:b/>
                <w:bCs/>
                <w:sz w:val="24"/>
                <w:szCs w:val="24"/>
              </w:rPr>
              <w:t>Board</w:t>
            </w:r>
            <w:r>
              <w:rPr>
                <w:rFonts w:ascii="Arial" w:hAnsi="Arial" w:cs="Arial"/>
                <w:b/>
                <w:bCs/>
                <w:sz w:val="24"/>
                <w:szCs w:val="24"/>
              </w:rPr>
              <w:t xml:space="preserve"> </w:t>
            </w:r>
            <w:r w:rsidRPr="00DA2F68">
              <w:rPr>
                <w:rFonts w:ascii="Arial" w:hAnsi="Arial" w:cs="Arial"/>
                <w:b/>
                <w:bCs/>
                <w:sz w:val="24"/>
                <w:szCs w:val="24"/>
              </w:rPr>
              <w:t>members) compared with the % of staff in the overall workforce</w:t>
            </w:r>
          </w:p>
          <w:p w14:paraId="30857A76" w14:textId="5251FB43" w:rsidR="00F8164D" w:rsidRDefault="00F8164D" w:rsidP="00DA2F68">
            <w:pPr>
              <w:rPr>
                <w:rFonts w:ascii="Arial" w:hAnsi="Arial" w:cs="Arial"/>
                <w:b/>
                <w:bCs/>
                <w:sz w:val="24"/>
                <w:szCs w:val="24"/>
              </w:rPr>
            </w:pPr>
          </w:p>
        </w:tc>
      </w:tr>
      <w:tr w:rsidR="00641DEC" w14:paraId="20AF3B15" w14:textId="77777777" w:rsidTr="00336157">
        <w:tc>
          <w:tcPr>
            <w:tcW w:w="1897" w:type="dxa"/>
          </w:tcPr>
          <w:p w14:paraId="36BE5BBF" w14:textId="54E84D2A" w:rsidR="004E5B1E" w:rsidRPr="00E47C16" w:rsidRDefault="004E5B1E" w:rsidP="00E47C16">
            <w:pPr>
              <w:rPr>
                <w:rFonts w:ascii="Arial" w:hAnsi="Arial" w:cs="Arial"/>
                <w:sz w:val="24"/>
                <w:szCs w:val="24"/>
              </w:rPr>
            </w:pPr>
            <w:r>
              <w:rPr>
                <w:rFonts w:ascii="Arial" w:hAnsi="Arial" w:cs="Arial"/>
                <w:sz w:val="24"/>
                <w:szCs w:val="24"/>
              </w:rPr>
              <w:t>E</w:t>
            </w:r>
            <w:r w:rsidRPr="00E47C16">
              <w:rPr>
                <w:rFonts w:ascii="Arial" w:hAnsi="Arial" w:cs="Arial"/>
                <w:sz w:val="24"/>
                <w:szCs w:val="24"/>
              </w:rPr>
              <w:t xml:space="preserve">ncourage staff to update their equality monitoring information </w:t>
            </w:r>
            <w:r>
              <w:rPr>
                <w:rFonts w:ascii="Arial" w:hAnsi="Arial" w:cs="Arial"/>
                <w:sz w:val="24"/>
                <w:szCs w:val="24"/>
              </w:rPr>
              <w:t xml:space="preserve">to </w:t>
            </w:r>
            <w:r w:rsidRPr="00E47C16">
              <w:rPr>
                <w:rFonts w:ascii="Arial" w:hAnsi="Arial" w:cs="Arial"/>
                <w:sz w:val="24"/>
                <w:szCs w:val="24"/>
              </w:rPr>
              <w:t xml:space="preserve">help determine </w:t>
            </w:r>
            <w:r w:rsidRPr="00E47C16">
              <w:rPr>
                <w:rFonts w:ascii="Arial" w:hAnsi="Arial" w:cs="Arial"/>
                <w:sz w:val="24"/>
                <w:szCs w:val="24"/>
              </w:rPr>
              <w:lastRenderedPageBreak/>
              <w:t>who is in the workforce</w:t>
            </w:r>
          </w:p>
          <w:p w14:paraId="3FD283A8" w14:textId="77777777" w:rsidR="004E5B1E" w:rsidRPr="00E47C16" w:rsidRDefault="004E5B1E" w:rsidP="00E47C16">
            <w:pPr>
              <w:ind w:left="720"/>
              <w:rPr>
                <w:rFonts w:ascii="Arial" w:hAnsi="Arial" w:cs="Arial"/>
                <w:bCs/>
                <w:sz w:val="24"/>
                <w:szCs w:val="24"/>
              </w:rPr>
            </w:pPr>
          </w:p>
          <w:p w14:paraId="232C5305" w14:textId="63283D9A" w:rsidR="004E5B1E" w:rsidRPr="00050EAE" w:rsidRDefault="004E5B1E" w:rsidP="00B14E88">
            <w:pPr>
              <w:rPr>
                <w:rFonts w:ascii="Arial" w:hAnsi="Arial" w:cs="Arial"/>
                <w:sz w:val="24"/>
                <w:szCs w:val="24"/>
              </w:rPr>
            </w:pPr>
          </w:p>
        </w:tc>
        <w:tc>
          <w:tcPr>
            <w:tcW w:w="1827" w:type="dxa"/>
          </w:tcPr>
          <w:p w14:paraId="7679AE38" w14:textId="19D018F6" w:rsidR="004E5B1E" w:rsidRPr="00DD020A" w:rsidRDefault="004E5B1E" w:rsidP="00B14E88">
            <w:pPr>
              <w:rPr>
                <w:rFonts w:ascii="Arial" w:hAnsi="Arial" w:cs="Arial"/>
                <w:sz w:val="24"/>
                <w:szCs w:val="24"/>
              </w:rPr>
            </w:pPr>
            <w:r w:rsidRPr="00E47C16">
              <w:rPr>
                <w:rFonts w:ascii="Arial" w:hAnsi="Arial" w:cs="Arial"/>
                <w:sz w:val="24"/>
                <w:szCs w:val="24"/>
              </w:rPr>
              <w:lastRenderedPageBreak/>
              <w:t>Indicator</w:t>
            </w:r>
            <w:r>
              <w:rPr>
                <w:rFonts w:ascii="Arial" w:hAnsi="Arial" w:cs="Arial"/>
                <w:b/>
                <w:bCs/>
                <w:sz w:val="24"/>
                <w:szCs w:val="24"/>
              </w:rPr>
              <w:t xml:space="preserve"> </w:t>
            </w:r>
            <w:r w:rsidRPr="00E47C16">
              <w:rPr>
                <w:rFonts w:ascii="Arial" w:hAnsi="Arial" w:cs="Arial"/>
                <w:sz w:val="24"/>
                <w:szCs w:val="24"/>
              </w:rPr>
              <w:t xml:space="preserve">1 has seen various statistical changes in 2023 with five being positive, </w:t>
            </w:r>
            <w:r w:rsidRPr="00E47C16">
              <w:rPr>
                <w:rFonts w:ascii="Arial" w:hAnsi="Arial" w:cs="Arial"/>
                <w:sz w:val="24"/>
                <w:szCs w:val="24"/>
              </w:rPr>
              <w:lastRenderedPageBreak/>
              <w:t>four statistically static and one deterioration</w:t>
            </w:r>
          </w:p>
        </w:tc>
        <w:tc>
          <w:tcPr>
            <w:tcW w:w="2605" w:type="dxa"/>
          </w:tcPr>
          <w:p w14:paraId="1D04DC3A" w14:textId="7B2ED478" w:rsidR="004E5B1E" w:rsidRDefault="004E5B1E" w:rsidP="00B14E88">
            <w:pPr>
              <w:rPr>
                <w:rFonts w:ascii="Arial" w:hAnsi="Arial" w:cs="Arial"/>
                <w:sz w:val="24"/>
                <w:szCs w:val="24"/>
              </w:rPr>
            </w:pPr>
            <w:r>
              <w:rPr>
                <w:rFonts w:ascii="Arial" w:hAnsi="Arial" w:cs="Arial"/>
                <w:sz w:val="24"/>
                <w:szCs w:val="24"/>
              </w:rPr>
              <w:lastRenderedPageBreak/>
              <w:t>Last year’s action was partly completed and has been updated.</w:t>
            </w:r>
          </w:p>
          <w:p w14:paraId="22A29508" w14:textId="77777777" w:rsidR="004E5B1E" w:rsidRDefault="004E5B1E" w:rsidP="00B14E88">
            <w:pPr>
              <w:rPr>
                <w:rFonts w:ascii="Arial" w:hAnsi="Arial" w:cs="Arial"/>
                <w:sz w:val="24"/>
                <w:szCs w:val="24"/>
              </w:rPr>
            </w:pPr>
          </w:p>
          <w:p w14:paraId="351D9E85" w14:textId="2AE15D48" w:rsidR="004E5B1E" w:rsidRPr="00847397" w:rsidRDefault="004E5B1E" w:rsidP="00B14E88">
            <w:pPr>
              <w:rPr>
                <w:rFonts w:ascii="Arial" w:hAnsi="Arial" w:cs="Arial"/>
                <w:sz w:val="24"/>
                <w:szCs w:val="24"/>
              </w:rPr>
            </w:pPr>
            <w:r>
              <w:rPr>
                <w:rFonts w:ascii="Arial" w:hAnsi="Arial" w:cs="Arial"/>
                <w:sz w:val="24"/>
                <w:szCs w:val="24"/>
              </w:rPr>
              <w:t xml:space="preserve">The Sharing Personal Diversity Guide will be </w:t>
            </w:r>
            <w:r>
              <w:rPr>
                <w:rFonts w:ascii="Arial" w:hAnsi="Arial" w:cs="Arial"/>
                <w:sz w:val="24"/>
                <w:szCs w:val="24"/>
              </w:rPr>
              <w:lastRenderedPageBreak/>
              <w:t>launched along with a targeted campaign to update information on ESR.</w:t>
            </w:r>
          </w:p>
        </w:tc>
        <w:tc>
          <w:tcPr>
            <w:tcW w:w="2004" w:type="dxa"/>
          </w:tcPr>
          <w:p w14:paraId="40AD4445" w14:textId="42D85B41" w:rsidR="004E5B1E" w:rsidRDefault="001A6B7C" w:rsidP="00B14E88">
            <w:pPr>
              <w:rPr>
                <w:rFonts w:ascii="Arial" w:hAnsi="Arial" w:cs="Arial"/>
                <w:sz w:val="24"/>
                <w:szCs w:val="24"/>
              </w:rPr>
            </w:pPr>
            <w:r>
              <w:rPr>
                <w:rFonts w:ascii="Arial" w:hAnsi="Arial" w:cs="Arial"/>
                <w:sz w:val="24"/>
                <w:szCs w:val="24"/>
              </w:rPr>
              <w:lastRenderedPageBreak/>
              <w:t>Director of Workforce and Organisational Development</w:t>
            </w:r>
          </w:p>
        </w:tc>
        <w:tc>
          <w:tcPr>
            <w:tcW w:w="2100" w:type="dxa"/>
          </w:tcPr>
          <w:p w14:paraId="4C5717AD" w14:textId="6F8E49AC" w:rsidR="004E5B1E" w:rsidRPr="00847397" w:rsidRDefault="004E5B1E" w:rsidP="00B14E88">
            <w:pPr>
              <w:rPr>
                <w:rFonts w:ascii="Arial" w:hAnsi="Arial" w:cs="Arial"/>
                <w:sz w:val="24"/>
                <w:szCs w:val="24"/>
              </w:rPr>
            </w:pPr>
            <w:r>
              <w:rPr>
                <w:rFonts w:ascii="Arial" w:hAnsi="Arial" w:cs="Arial"/>
                <w:sz w:val="24"/>
                <w:szCs w:val="24"/>
              </w:rPr>
              <w:t>Head of EDI, Workforce Data Analyst and EDI Workstream</w:t>
            </w:r>
          </w:p>
        </w:tc>
        <w:tc>
          <w:tcPr>
            <w:tcW w:w="1658" w:type="dxa"/>
          </w:tcPr>
          <w:p w14:paraId="4927944B" w14:textId="27DE5660" w:rsidR="004E5B1E" w:rsidRPr="00847397" w:rsidRDefault="001A6B7C" w:rsidP="00B14E88">
            <w:pPr>
              <w:rPr>
                <w:rFonts w:ascii="Arial" w:hAnsi="Arial" w:cs="Arial"/>
                <w:sz w:val="24"/>
                <w:szCs w:val="24"/>
              </w:rPr>
            </w:pPr>
            <w:r>
              <w:rPr>
                <w:rFonts w:ascii="Arial" w:hAnsi="Arial" w:cs="Arial"/>
                <w:sz w:val="24"/>
                <w:szCs w:val="24"/>
              </w:rPr>
              <w:t xml:space="preserve">Commence in </w:t>
            </w:r>
            <w:r w:rsidR="00C548A0">
              <w:rPr>
                <w:rFonts w:ascii="Arial" w:hAnsi="Arial" w:cs="Arial"/>
                <w:sz w:val="24"/>
                <w:szCs w:val="24"/>
              </w:rPr>
              <w:t>Q2 2024</w:t>
            </w:r>
          </w:p>
        </w:tc>
        <w:tc>
          <w:tcPr>
            <w:tcW w:w="1857" w:type="dxa"/>
            <w:shd w:val="clear" w:color="auto" w:fill="FFC000"/>
          </w:tcPr>
          <w:p w14:paraId="44342D00" w14:textId="7A271A44" w:rsidR="004E5B1E" w:rsidRDefault="004E5B1E" w:rsidP="00B14E88">
            <w:pPr>
              <w:rPr>
                <w:rFonts w:ascii="Arial" w:hAnsi="Arial" w:cs="Arial"/>
                <w:b/>
                <w:bCs/>
                <w:sz w:val="24"/>
                <w:szCs w:val="24"/>
              </w:rPr>
            </w:pPr>
          </w:p>
        </w:tc>
      </w:tr>
      <w:tr w:rsidR="00641DEC" w14:paraId="22C8D974" w14:textId="77777777" w:rsidTr="00336157">
        <w:tc>
          <w:tcPr>
            <w:tcW w:w="1897" w:type="dxa"/>
          </w:tcPr>
          <w:p w14:paraId="0C51E6BA" w14:textId="77777777" w:rsidR="004E5B1E" w:rsidRDefault="004E5B1E" w:rsidP="00A02D5B">
            <w:pPr>
              <w:rPr>
                <w:rFonts w:ascii="Arial" w:hAnsi="Arial" w:cs="Arial"/>
                <w:sz w:val="24"/>
                <w:szCs w:val="24"/>
              </w:rPr>
            </w:pPr>
          </w:p>
        </w:tc>
        <w:tc>
          <w:tcPr>
            <w:tcW w:w="1827" w:type="dxa"/>
          </w:tcPr>
          <w:p w14:paraId="3D0D3667" w14:textId="77777777" w:rsidR="004E5B1E" w:rsidRPr="003A5836" w:rsidRDefault="004E5B1E" w:rsidP="00A02D5B">
            <w:pPr>
              <w:rPr>
                <w:rFonts w:ascii="Arial" w:hAnsi="Arial" w:cs="Arial"/>
                <w:sz w:val="24"/>
                <w:szCs w:val="24"/>
              </w:rPr>
            </w:pPr>
          </w:p>
        </w:tc>
        <w:tc>
          <w:tcPr>
            <w:tcW w:w="2605" w:type="dxa"/>
          </w:tcPr>
          <w:p w14:paraId="3EECD62C" w14:textId="4CEF8A1F" w:rsidR="004E5B1E" w:rsidRDefault="004E5B1E" w:rsidP="00A02D5B">
            <w:pPr>
              <w:rPr>
                <w:rFonts w:ascii="Arial" w:hAnsi="Arial" w:cs="Arial"/>
                <w:sz w:val="24"/>
                <w:szCs w:val="24"/>
              </w:rPr>
            </w:pPr>
            <w:r>
              <w:rPr>
                <w:rFonts w:ascii="Arial" w:hAnsi="Arial" w:cs="Arial"/>
                <w:sz w:val="24"/>
                <w:szCs w:val="24"/>
              </w:rPr>
              <w:t>Maintain current Disability Confident level 2 and promote the benefits of this charter to managers</w:t>
            </w:r>
          </w:p>
        </w:tc>
        <w:tc>
          <w:tcPr>
            <w:tcW w:w="2004" w:type="dxa"/>
          </w:tcPr>
          <w:p w14:paraId="51DAF6E3" w14:textId="01319C31" w:rsidR="004E5B1E" w:rsidRDefault="001A6B7C" w:rsidP="00A02D5B">
            <w:pPr>
              <w:rPr>
                <w:rFonts w:ascii="Arial" w:hAnsi="Arial" w:cs="Arial"/>
                <w:sz w:val="24"/>
                <w:szCs w:val="24"/>
              </w:rPr>
            </w:pPr>
            <w:r>
              <w:rPr>
                <w:rFonts w:ascii="Arial" w:hAnsi="Arial" w:cs="Arial"/>
                <w:sz w:val="24"/>
                <w:szCs w:val="24"/>
              </w:rPr>
              <w:t>Director of Workforce and Organisational Development</w:t>
            </w:r>
          </w:p>
        </w:tc>
        <w:tc>
          <w:tcPr>
            <w:tcW w:w="2100" w:type="dxa"/>
          </w:tcPr>
          <w:p w14:paraId="1EE13E23" w14:textId="5220DD69" w:rsidR="004E5B1E" w:rsidRDefault="004E5B1E" w:rsidP="00A02D5B">
            <w:pPr>
              <w:rPr>
                <w:rFonts w:ascii="Arial" w:hAnsi="Arial" w:cs="Arial"/>
                <w:sz w:val="24"/>
                <w:szCs w:val="24"/>
              </w:rPr>
            </w:pPr>
            <w:r>
              <w:rPr>
                <w:rFonts w:ascii="Arial" w:hAnsi="Arial" w:cs="Arial"/>
                <w:sz w:val="24"/>
                <w:szCs w:val="24"/>
              </w:rPr>
              <w:t>Deputy Head of resourcing</w:t>
            </w:r>
          </w:p>
        </w:tc>
        <w:tc>
          <w:tcPr>
            <w:tcW w:w="1658" w:type="dxa"/>
          </w:tcPr>
          <w:p w14:paraId="42198AA0" w14:textId="05C2DB9F" w:rsidR="004E5B1E" w:rsidRDefault="001A6B7C" w:rsidP="00A02D5B">
            <w:pPr>
              <w:rPr>
                <w:rFonts w:ascii="Arial" w:hAnsi="Arial" w:cs="Arial"/>
                <w:sz w:val="24"/>
                <w:szCs w:val="24"/>
              </w:rPr>
            </w:pPr>
            <w:r>
              <w:rPr>
                <w:rFonts w:ascii="Arial" w:hAnsi="Arial" w:cs="Arial"/>
                <w:sz w:val="24"/>
                <w:szCs w:val="24"/>
              </w:rPr>
              <w:t xml:space="preserve">Commence in </w:t>
            </w:r>
            <w:r w:rsidR="004E5B1E">
              <w:rPr>
                <w:rFonts w:ascii="Arial" w:hAnsi="Arial" w:cs="Arial"/>
                <w:sz w:val="24"/>
                <w:szCs w:val="24"/>
              </w:rPr>
              <w:t>Q</w:t>
            </w:r>
            <w:r w:rsidR="00C548A0">
              <w:rPr>
                <w:rFonts w:ascii="Arial" w:hAnsi="Arial" w:cs="Arial"/>
                <w:sz w:val="24"/>
                <w:szCs w:val="24"/>
              </w:rPr>
              <w:t>3</w:t>
            </w:r>
            <w:r w:rsidR="004E5B1E">
              <w:rPr>
                <w:rFonts w:ascii="Arial" w:hAnsi="Arial" w:cs="Arial"/>
                <w:sz w:val="24"/>
                <w:szCs w:val="24"/>
              </w:rPr>
              <w:t xml:space="preserve"> 2024</w:t>
            </w:r>
          </w:p>
        </w:tc>
        <w:tc>
          <w:tcPr>
            <w:tcW w:w="1857" w:type="dxa"/>
            <w:shd w:val="clear" w:color="auto" w:fill="00B0F0"/>
          </w:tcPr>
          <w:p w14:paraId="68E7E1A8" w14:textId="77777777" w:rsidR="004E5B1E" w:rsidRDefault="004E5B1E" w:rsidP="00A02D5B">
            <w:pPr>
              <w:rPr>
                <w:rFonts w:ascii="Arial" w:hAnsi="Arial" w:cs="Arial"/>
                <w:b/>
                <w:bCs/>
                <w:sz w:val="24"/>
                <w:szCs w:val="24"/>
              </w:rPr>
            </w:pPr>
          </w:p>
        </w:tc>
      </w:tr>
      <w:tr w:rsidR="00F47B08" w14:paraId="2D609D80" w14:textId="77777777" w:rsidTr="00F47B08">
        <w:tc>
          <w:tcPr>
            <w:tcW w:w="13948" w:type="dxa"/>
            <w:gridSpan w:val="7"/>
            <w:shd w:val="clear" w:color="auto" w:fill="BDD6EE" w:themeFill="accent5" w:themeFillTint="66"/>
          </w:tcPr>
          <w:p w14:paraId="5BC757AC" w14:textId="583E31F6" w:rsidR="00F47B08" w:rsidRPr="00E215F6" w:rsidRDefault="00F47B08" w:rsidP="00E215F6">
            <w:pPr>
              <w:rPr>
                <w:rFonts w:ascii="Arial" w:hAnsi="Arial" w:cs="Arial"/>
                <w:b/>
                <w:bCs/>
                <w:sz w:val="24"/>
                <w:szCs w:val="24"/>
              </w:rPr>
            </w:pPr>
            <w:r>
              <w:rPr>
                <w:rFonts w:ascii="Arial" w:hAnsi="Arial" w:cs="Arial"/>
                <w:b/>
                <w:bCs/>
                <w:sz w:val="24"/>
                <w:szCs w:val="24"/>
              </w:rPr>
              <w:t>WDES Indicator 5 Percentage</w:t>
            </w:r>
            <w:r w:rsidRPr="00E215F6">
              <w:rPr>
                <w:rFonts w:ascii="Arial" w:hAnsi="Arial" w:cs="Arial"/>
                <w:b/>
                <w:bCs/>
                <w:sz w:val="24"/>
                <w:szCs w:val="24"/>
              </w:rPr>
              <w:t xml:space="preserve"> of staff who believe that their organisation provides equal opportunities for career progression or promotion.</w:t>
            </w:r>
          </w:p>
          <w:p w14:paraId="0A886392" w14:textId="097B364F" w:rsidR="00F47B08" w:rsidRDefault="00F47B08" w:rsidP="00A02D5B">
            <w:pPr>
              <w:rPr>
                <w:rFonts w:ascii="Arial" w:hAnsi="Arial" w:cs="Arial"/>
                <w:b/>
                <w:bCs/>
                <w:sz w:val="24"/>
                <w:szCs w:val="24"/>
              </w:rPr>
            </w:pPr>
          </w:p>
        </w:tc>
      </w:tr>
      <w:tr w:rsidR="00641DEC" w14:paraId="49530B11" w14:textId="77777777" w:rsidTr="00336157">
        <w:tc>
          <w:tcPr>
            <w:tcW w:w="1897" w:type="dxa"/>
          </w:tcPr>
          <w:p w14:paraId="6E12A943" w14:textId="780D9CBF" w:rsidR="004E5B1E" w:rsidRPr="00BE5875" w:rsidRDefault="004E5B1E" w:rsidP="00BE5875">
            <w:pPr>
              <w:rPr>
                <w:rFonts w:ascii="Arial" w:hAnsi="Arial" w:cs="Arial"/>
                <w:sz w:val="24"/>
                <w:szCs w:val="24"/>
              </w:rPr>
            </w:pPr>
            <w:r>
              <w:rPr>
                <w:rFonts w:ascii="Arial" w:hAnsi="Arial" w:cs="Arial"/>
                <w:sz w:val="24"/>
                <w:szCs w:val="24"/>
              </w:rPr>
              <w:t>Increase awareness of the support available within the Trust to support Disabled staff in their careers</w:t>
            </w:r>
          </w:p>
        </w:tc>
        <w:tc>
          <w:tcPr>
            <w:tcW w:w="1827" w:type="dxa"/>
          </w:tcPr>
          <w:p w14:paraId="5CF45098" w14:textId="76CFBCD7" w:rsidR="004E5B1E" w:rsidRPr="00943279" w:rsidRDefault="004E5B1E" w:rsidP="00A02D5B">
            <w:pPr>
              <w:rPr>
                <w:rFonts w:ascii="Arial" w:hAnsi="Arial" w:cs="Arial"/>
                <w:sz w:val="24"/>
                <w:szCs w:val="24"/>
              </w:rPr>
            </w:pPr>
            <w:r>
              <w:rPr>
                <w:rFonts w:ascii="Arial" w:hAnsi="Arial" w:cs="Arial"/>
                <w:sz w:val="24"/>
                <w:szCs w:val="24"/>
              </w:rPr>
              <w:t>T</w:t>
            </w:r>
            <w:r w:rsidRPr="00BE5875">
              <w:rPr>
                <w:rFonts w:ascii="Arial" w:hAnsi="Arial" w:cs="Arial"/>
                <w:sz w:val="24"/>
                <w:szCs w:val="24"/>
              </w:rPr>
              <w:t>his</w:t>
            </w:r>
            <w:r>
              <w:rPr>
                <w:rFonts w:ascii="Arial" w:hAnsi="Arial" w:cs="Arial"/>
                <w:sz w:val="24"/>
                <w:szCs w:val="24"/>
              </w:rPr>
              <w:t xml:space="preserve"> has </w:t>
            </w:r>
            <w:r w:rsidRPr="00BE5875">
              <w:rPr>
                <w:rFonts w:ascii="Arial" w:hAnsi="Arial" w:cs="Arial"/>
                <w:sz w:val="24"/>
                <w:szCs w:val="24"/>
              </w:rPr>
              <w:t>seen a slight negative decrease in 2023 but is equal to the Staff Survey benchmark group average, which has remained the same since 2021.</w:t>
            </w:r>
            <w:r>
              <w:rPr>
                <w:rFonts w:ascii="Arial" w:hAnsi="Arial" w:cs="Arial"/>
                <w:sz w:val="24"/>
                <w:szCs w:val="24"/>
              </w:rPr>
              <w:t xml:space="preserve"> Staff Survey results 2022 52.1%, 2023 51.4%.</w:t>
            </w:r>
          </w:p>
        </w:tc>
        <w:tc>
          <w:tcPr>
            <w:tcW w:w="2605" w:type="dxa"/>
          </w:tcPr>
          <w:p w14:paraId="23C4CEBB" w14:textId="63A1B1E7" w:rsidR="004E5B1E" w:rsidRDefault="004E5B1E" w:rsidP="00A02D5B">
            <w:pPr>
              <w:rPr>
                <w:rFonts w:ascii="Arial" w:hAnsi="Arial" w:cs="Arial"/>
                <w:sz w:val="24"/>
                <w:szCs w:val="24"/>
              </w:rPr>
            </w:pPr>
            <w:r>
              <w:rPr>
                <w:rFonts w:ascii="Arial" w:hAnsi="Arial" w:cs="Arial"/>
                <w:sz w:val="24"/>
                <w:szCs w:val="24"/>
              </w:rPr>
              <w:t>Career conversation/coaching and mentoring</w:t>
            </w:r>
          </w:p>
        </w:tc>
        <w:tc>
          <w:tcPr>
            <w:tcW w:w="2004" w:type="dxa"/>
          </w:tcPr>
          <w:p w14:paraId="43A81D24" w14:textId="6741B387" w:rsidR="004E5B1E" w:rsidRDefault="001A6B7C" w:rsidP="00A02D5B">
            <w:pPr>
              <w:rPr>
                <w:rFonts w:ascii="Arial" w:hAnsi="Arial" w:cs="Arial"/>
                <w:sz w:val="24"/>
                <w:szCs w:val="24"/>
              </w:rPr>
            </w:pPr>
            <w:r>
              <w:rPr>
                <w:rFonts w:ascii="Arial" w:hAnsi="Arial" w:cs="Arial"/>
                <w:sz w:val="24"/>
                <w:szCs w:val="24"/>
              </w:rPr>
              <w:t>Director of Workforce and Organisational Development</w:t>
            </w:r>
          </w:p>
        </w:tc>
        <w:tc>
          <w:tcPr>
            <w:tcW w:w="2100" w:type="dxa"/>
          </w:tcPr>
          <w:p w14:paraId="503BAAE8" w14:textId="23746735" w:rsidR="004E5B1E" w:rsidRPr="00356841" w:rsidRDefault="004E5B1E" w:rsidP="00A02D5B">
            <w:pPr>
              <w:rPr>
                <w:rFonts w:ascii="Arial" w:hAnsi="Arial" w:cs="Arial"/>
                <w:sz w:val="24"/>
                <w:szCs w:val="24"/>
              </w:rPr>
            </w:pPr>
            <w:r>
              <w:rPr>
                <w:rFonts w:ascii="Arial" w:hAnsi="Arial" w:cs="Arial"/>
                <w:sz w:val="24"/>
                <w:szCs w:val="24"/>
              </w:rPr>
              <w:t>OD Facilitator</w:t>
            </w:r>
          </w:p>
        </w:tc>
        <w:tc>
          <w:tcPr>
            <w:tcW w:w="1658" w:type="dxa"/>
          </w:tcPr>
          <w:p w14:paraId="1C18715B" w14:textId="05D425F6" w:rsidR="004E5B1E" w:rsidRPr="009A6B5A" w:rsidRDefault="001A6B7C" w:rsidP="00A02D5B">
            <w:pPr>
              <w:rPr>
                <w:rFonts w:ascii="Arial" w:hAnsi="Arial" w:cs="Arial"/>
                <w:sz w:val="24"/>
                <w:szCs w:val="24"/>
              </w:rPr>
            </w:pPr>
            <w:r>
              <w:rPr>
                <w:rFonts w:ascii="Arial" w:hAnsi="Arial" w:cs="Arial"/>
                <w:sz w:val="24"/>
                <w:szCs w:val="24"/>
              </w:rPr>
              <w:t xml:space="preserve">Commence in </w:t>
            </w:r>
            <w:r w:rsidR="004E5B1E">
              <w:rPr>
                <w:rFonts w:ascii="Arial" w:hAnsi="Arial" w:cs="Arial"/>
                <w:sz w:val="24"/>
                <w:szCs w:val="24"/>
              </w:rPr>
              <w:t>Q</w:t>
            </w:r>
            <w:r>
              <w:rPr>
                <w:rFonts w:ascii="Arial" w:hAnsi="Arial" w:cs="Arial"/>
                <w:sz w:val="24"/>
                <w:szCs w:val="24"/>
              </w:rPr>
              <w:t>3</w:t>
            </w:r>
            <w:r w:rsidR="004E5B1E">
              <w:rPr>
                <w:rFonts w:ascii="Arial" w:hAnsi="Arial" w:cs="Arial"/>
                <w:sz w:val="24"/>
                <w:szCs w:val="24"/>
              </w:rPr>
              <w:t xml:space="preserve"> 2024</w:t>
            </w:r>
          </w:p>
        </w:tc>
        <w:tc>
          <w:tcPr>
            <w:tcW w:w="1857" w:type="dxa"/>
            <w:shd w:val="clear" w:color="auto" w:fill="FFC000"/>
          </w:tcPr>
          <w:p w14:paraId="70C17930" w14:textId="5D7EA613" w:rsidR="004E5B1E" w:rsidRPr="008F5BA2" w:rsidRDefault="004E5B1E" w:rsidP="00A02D5B">
            <w:pPr>
              <w:rPr>
                <w:rFonts w:ascii="Arial" w:hAnsi="Arial" w:cs="Arial"/>
                <w:sz w:val="24"/>
                <w:szCs w:val="24"/>
              </w:rPr>
            </w:pPr>
          </w:p>
        </w:tc>
      </w:tr>
      <w:tr w:rsidR="00641DEC" w14:paraId="6099D52A" w14:textId="77777777" w:rsidTr="00336157">
        <w:tc>
          <w:tcPr>
            <w:tcW w:w="1897" w:type="dxa"/>
          </w:tcPr>
          <w:p w14:paraId="2EBD61DB" w14:textId="77777777" w:rsidR="004E5B1E" w:rsidRDefault="004E5B1E" w:rsidP="00A02D5B">
            <w:pPr>
              <w:rPr>
                <w:rFonts w:ascii="Arial" w:hAnsi="Arial" w:cs="Arial"/>
                <w:b/>
                <w:bCs/>
                <w:sz w:val="24"/>
                <w:szCs w:val="24"/>
              </w:rPr>
            </w:pPr>
          </w:p>
        </w:tc>
        <w:tc>
          <w:tcPr>
            <w:tcW w:w="1827" w:type="dxa"/>
          </w:tcPr>
          <w:p w14:paraId="325FE09B" w14:textId="77777777" w:rsidR="004E5B1E" w:rsidRDefault="004E5B1E" w:rsidP="00A02D5B">
            <w:pPr>
              <w:rPr>
                <w:rFonts w:ascii="Arial" w:hAnsi="Arial" w:cs="Arial"/>
                <w:b/>
                <w:bCs/>
                <w:sz w:val="24"/>
                <w:szCs w:val="24"/>
              </w:rPr>
            </w:pPr>
          </w:p>
        </w:tc>
        <w:tc>
          <w:tcPr>
            <w:tcW w:w="2605" w:type="dxa"/>
          </w:tcPr>
          <w:p w14:paraId="2338702E" w14:textId="5F31DB8E" w:rsidR="004E5B1E" w:rsidRDefault="004E5B1E" w:rsidP="00A02D5B">
            <w:pPr>
              <w:rPr>
                <w:rFonts w:ascii="Arial" w:hAnsi="Arial" w:cs="Arial"/>
                <w:sz w:val="24"/>
                <w:szCs w:val="24"/>
              </w:rPr>
            </w:pPr>
            <w:r>
              <w:rPr>
                <w:rFonts w:ascii="Arial" w:hAnsi="Arial" w:cs="Arial"/>
                <w:sz w:val="24"/>
                <w:szCs w:val="24"/>
              </w:rPr>
              <w:t xml:space="preserve">Use positive action in targeting Disabled staff to attend the </w:t>
            </w:r>
            <w:r>
              <w:rPr>
                <w:rFonts w:ascii="Arial" w:hAnsi="Arial" w:cs="Arial"/>
                <w:sz w:val="24"/>
                <w:szCs w:val="24"/>
              </w:rPr>
              <w:lastRenderedPageBreak/>
              <w:t>internal development courses to support them with career progression</w:t>
            </w:r>
          </w:p>
        </w:tc>
        <w:tc>
          <w:tcPr>
            <w:tcW w:w="2004" w:type="dxa"/>
          </w:tcPr>
          <w:p w14:paraId="07270021" w14:textId="2EC3B97C" w:rsidR="004E5B1E" w:rsidRDefault="001C342B" w:rsidP="00A02D5B">
            <w:pPr>
              <w:rPr>
                <w:rFonts w:ascii="Arial" w:hAnsi="Arial" w:cs="Arial"/>
                <w:sz w:val="24"/>
                <w:szCs w:val="24"/>
              </w:rPr>
            </w:pPr>
            <w:r>
              <w:rPr>
                <w:rFonts w:ascii="Arial" w:hAnsi="Arial" w:cs="Arial"/>
                <w:sz w:val="24"/>
                <w:szCs w:val="24"/>
              </w:rPr>
              <w:lastRenderedPageBreak/>
              <w:t xml:space="preserve">Director of Workforce and </w:t>
            </w:r>
            <w:r>
              <w:rPr>
                <w:rFonts w:ascii="Arial" w:hAnsi="Arial" w:cs="Arial"/>
                <w:sz w:val="24"/>
                <w:szCs w:val="24"/>
              </w:rPr>
              <w:lastRenderedPageBreak/>
              <w:t>Organisational Development</w:t>
            </w:r>
          </w:p>
        </w:tc>
        <w:tc>
          <w:tcPr>
            <w:tcW w:w="2100" w:type="dxa"/>
          </w:tcPr>
          <w:p w14:paraId="47344E55" w14:textId="2372D375" w:rsidR="004E5B1E" w:rsidRPr="00356841" w:rsidRDefault="004E5B1E" w:rsidP="00A02D5B">
            <w:pPr>
              <w:rPr>
                <w:rFonts w:ascii="Arial" w:hAnsi="Arial" w:cs="Arial"/>
                <w:sz w:val="24"/>
                <w:szCs w:val="24"/>
              </w:rPr>
            </w:pPr>
            <w:r>
              <w:rPr>
                <w:rFonts w:ascii="Arial" w:hAnsi="Arial" w:cs="Arial"/>
                <w:sz w:val="24"/>
                <w:szCs w:val="24"/>
              </w:rPr>
              <w:lastRenderedPageBreak/>
              <w:t>Head of Organisational Development</w:t>
            </w:r>
          </w:p>
        </w:tc>
        <w:tc>
          <w:tcPr>
            <w:tcW w:w="1658" w:type="dxa"/>
          </w:tcPr>
          <w:p w14:paraId="3CADE081" w14:textId="0F805E0C" w:rsidR="004E5B1E" w:rsidRPr="004E79A3" w:rsidRDefault="001A6B7C" w:rsidP="00A02D5B">
            <w:pPr>
              <w:rPr>
                <w:rFonts w:ascii="Arial" w:hAnsi="Arial" w:cs="Arial"/>
                <w:sz w:val="24"/>
                <w:szCs w:val="24"/>
              </w:rPr>
            </w:pPr>
            <w:r>
              <w:rPr>
                <w:rFonts w:ascii="Arial" w:hAnsi="Arial" w:cs="Arial"/>
                <w:sz w:val="24"/>
                <w:szCs w:val="24"/>
              </w:rPr>
              <w:t xml:space="preserve">Commence in Q4 </w:t>
            </w:r>
            <w:r w:rsidR="004E5B1E">
              <w:rPr>
                <w:rFonts w:ascii="Arial" w:hAnsi="Arial" w:cs="Arial"/>
                <w:sz w:val="24"/>
                <w:szCs w:val="24"/>
              </w:rPr>
              <w:t>202</w:t>
            </w:r>
            <w:r>
              <w:rPr>
                <w:rFonts w:ascii="Arial" w:hAnsi="Arial" w:cs="Arial"/>
                <w:sz w:val="24"/>
                <w:szCs w:val="24"/>
              </w:rPr>
              <w:t>4</w:t>
            </w:r>
          </w:p>
        </w:tc>
        <w:tc>
          <w:tcPr>
            <w:tcW w:w="1857" w:type="dxa"/>
            <w:shd w:val="clear" w:color="auto" w:fill="00B0F0"/>
          </w:tcPr>
          <w:p w14:paraId="758A9598" w14:textId="4D32D6F7" w:rsidR="004E5B1E" w:rsidRPr="004A48B7" w:rsidRDefault="004E5B1E" w:rsidP="00A02D5B">
            <w:pPr>
              <w:rPr>
                <w:rFonts w:ascii="Arial" w:hAnsi="Arial" w:cs="Arial"/>
                <w:sz w:val="24"/>
                <w:szCs w:val="24"/>
              </w:rPr>
            </w:pPr>
          </w:p>
        </w:tc>
      </w:tr>
      <w:tr w:rsidR="00641DEC" w14:paraId="12ADA4AB" w14:textId="77777777" w:rsidTr="00336157">
        <w:tc>
          <w:tcPr>
            <w:tcW w:w="1897" w:type="dxa"/>
          </w:tcPr>
          <w:p w14:paraId="352E590A" w14:textId="77777777" w:rsidR="004E5B1E" w:rsidRDefault="004E5B1E" w:rsidP="00A02D5B">
            <w:pPr>
              <w:rPr>
                <w:rFonts w:ascii="Arial" w:hAnsi="Arial" w:cs="Arial"/>
                <w:b/>
                <w:bCs/>
                <w:sz w:val="24"/>
                <w:szCs w:val="24"/>
              </w:rPr>
            </w:pPr>
          </w:p>
        </w:tc>
        <w:tc>
          <w:tcPr>
            <w:tcW w:w="1827" w:type="dxa"/>
          </w:tcPr>
          <w:p w14:paraId="4E1A96A5" w14:textId="77777777" w:rsidR="004E5B1E" w:rsidRDefault="004E5B1E" w:rsidP="00A02D5B">
            <w:pPr>
              <w:rPr>
                <w:rFonts w:ascii="Arial" w:hAnsi="Arial" w:cs="Arial"/>
                <w:b/>
                <w:bCs/>
                <w:sz w:val="24"/>
                <w:szCs w:val="24"/>
              </w:rPr>
            </w:pPr>
          </w:p>
        </w:tc>
        <w:tc>
          <w:tcPr>
            <w:tcW w:w="2605" w:type="dxa"/>
          </w:tcPr>
          <w:p w14:paraId="6D1212C1" w14:textId="7CB4B7DF" w:rsidR="004E5B1E" w:rsidRDefault="004E5B1E" w:rsidP="00A02D5B">
            <w:pPr>
              <w:rPr>
                <w:rFonts w:ascii="Arial" w:hAnsi="Arial" w:cs="Arial"/>
                <w:sz w:val="24"/>
                <w:szCs w:val="24"/>
              </w:rPr>
            </w:pPr>
            <w:r>
              <w:rPr>
                <w:rFonts w:ascii="Arial" w:hAnsi="Arial" w:cs="Arial"/>
                <w:sz w:val="24"/>
                <w:szCs w:val="24"/>
              </w:rPr>
              <w:t>Promote the changes in Flexible Working and the Trust’s Flexible Working Policy</w:t>
            </w:r>
          </w:p>
        </w:tc>
        <w:tc>
          <w:tcPr>
            <w:tcW w:w="2004" w:type="dxa"/>
          </w:tcPr>
          <w:p w14:paraId="7A33FA6A" w14:textId="25AFA397" w:rsidR="004E5B1E" w:rsidRDefault="001C342B" w:rsidP="00A02D5B">
            <w:pPr>
              <w:rPr>
                <w:rFonts w:ascii="Arial" w:hAnsi="Arial" w:cs="Arial"/>
                <w:sz w:val="24"/>
                <w:szCs w:val="24"/>
              </w:rPr>
            </w:pPr>
            <w:r>
              <w:rPr>
                <w:rFonts w:ascii="Arial" w:hAnsi="Arial" w:cs="Arial"/>
                <w:sz w:val="24"/>
                <w:szCs w:val="24"/>
              </w:rPr>
              <w:t>Director of Workforce and Organisational Development</w:t>
            </w:r>
          </w:p>
        </w:tc>
        <w:tc>
          <w:tcPr>
            <w:tcW w:w="2100" w:type="dxa"/>
          </w:tcPr>
          <w:p w14:paraId="696655A5" w14:textId="7E3CB68B" w:rsidR="004E5B1E" w:rsidRPr="00356841" w:rsidRDefault="004E5B1E" w:rsidP="00A02D5B">
            <w:pPr>
              <w:rPr>
                <w:rFonts w:ascii="Arial" w:hAnsi="Arial" w:cs="Arial"/>
                <w:sz w:val="24"/>
                <w:szCs w:val="24"/>
              </w:rPr>
            </w:pPr>
            <w:r>
              <w:rPr>
                <w:rFonts w:ascii="Arial" w:hAnsi="Arial" w:cs="Arial"/>
                <w:sz w:val="24"/>
                <w:szCs w:val="24"/>
              </w:rPr>
              <w:t>Workforce Leads and EDI Workstream</w:t>
            </w:r>
          </w:p>
        </w:tc>
        <w:tc>
          <w:tcPr>
            <w:tcW w:w="1658" w:type="dxa"/>
          </w:tcPr>
          <w:p w14:paraId="15F08B90" w14:textId="51864C1D" w:rsidR="004E5B1E" w:rsidRPr="00691147" w:rsidRDefault="001A6B7C" w:rsidP="00A02D5B">
            <w:pPr>
              <w:rPr>
                <w:rFonts w:ascii="Arial" w:hAnsi="Arial" w:cs="Arial"/>
                <w:sz w:val="24"/>
                <w:szCs w:val="24"/>
              </w:rPr>
            </w:pPr>
            <w:r>
              <w:rPr>
                <w:rFonts w:ascii="Arial" w:hAnsi="Arial" w:cs="Arial"/>
                <w:sz w:val="24"/>
                <w:szCs w:val="24"/>
              </w:rPr>
              <w:t>Commence in Q3 2024</w:t>
            </w:r>
          </w:p>
        </w:tc>
        <w:tc>
          <w:tcPr>
            <w:tcW w:w="1857" w:type="dxa"/>
            <w:shd w:val="clear" w:color="auto" w:fill="00B0F0"/>
          </w:tcPr>
          <w:p w14:paraId="4826C703" w14:textId="2822E381" w:rsidR="004E5B1E" w:rsidRPr="001507B5" w:rsidRDefault="004E5B1E" w:rsidP="00A02D5B">
            <w:pPr>
              <w:rPr>
                <w:rFonts w:ascii="Arial" w:hAnsi="Arial" w:cs="Arial"/>
                <w:sz w:val="24"/>
                <w:szCs w:val="24"/>
              </w:rPr>
            </w:pPr>
          </w:p>
        </w:tc>
      </w:tr>
      <w:tr w:rsidR="00B23ED5" w14:paraId="126E6EB7" w14:textId="77777777" w:rsidTr="00BE3D06">
        <w:tc>
          <w:tcPr>
            <w:tcW w:w="13948" w:type="dxa"/>
            <w:gridSpan w:val="7"/>
            <w:shd w:val="clear" w:color="auto" w:fill="BDD6EE" w:themeFill="accent5" w:themeFillTint="66"/>
          </w:tcPr>
          <w:p w14:paraId="1010C479" w14:textId="371AA188" w:rsidR="00B23ED5" w:rsidRPr="000567FE" w:rsidRDefault="00B23ED5" w:rsidP="000567FE">
            <w:pPr>
              <w:spacing w:after="200" w:line="276" w:lineRule="auto"/>
              <w:ind w:left="720"/>
              <w:rPr>
                <w:rFonts w:ascii="Arial" w:hAnsi="Arial" w:cs="Arial"/>
                <w:b/>
                <w:bCs/>
                <w:sz w:val="24"/>
                <w:szCs w:val="24"/>
              </w:rPr>
            </w:pPr>
            <w:r>
              <w:rPr>
                <w:rFonts w:ascii="Arial" w:hAnsi="Arial" w:cs="Arial"/>
                <w:b/>
                <w:bCs/>
                <w:sz w:val="24"/>
                <w:szCs w:val="24"/>
              </w:rPr>
              <w:t xml:space="preserve">WDES Indicator 9 </w:t>
            </w:r>
            <w:r w:rsidRPr="000567FE">
              <w:rPr>
                <w:rFonts w:ascii="Arial" w:hAnsi="Arial" w:cs="Arial"/>
                <w:b/>
                <w:bCs/>
                <w:sz w:val="24"/>
                <w:szCs w:val="24"/>
              </w:rPr>
              <w:t>The staff engagement score for Disabled staff, compared to non-Disabled staff</w:t>
            </w:r>
          </w:p>
          <w:p w14:paraId="5C1E534C" w14:textId="6E4E0024" w:rsidR="00B23ED5" w:rsidRDefault="00B23ED5" w:rsidP="00A02D5B">
            <w:pPr>
              <w:rPr>
                <w:rFonts w:ascii="Arial" w:hAnsi="Arial" w:cs="Arial"/>
                <w:b/>
                <w:bCs/>
                <w:sz w:val="24"/>
                <w:szCs w:val="24"/>
              </w:rPr>
            </w:pPr>
          </w:p>
        </w:tc>
      </w:tr>
      <w:tr w:rsidR="00641DEC" w14:paraId="610B7C85" w14:textId="77777777" w:rsidTr="00336157">
        <w:tc>
          <w:tcPr>
            <w:tcW w:w="1897" w:type="dxa"/>
          </w:tcPr>
          <w:p w14:paraId="7C526EBC" w14:textId="173B0F9D" w:rsidR="004E5B1E" w:rsidRPr="00673B98" w:rsidRDefault="004E5B1E" w:rsidP="00A02D5B">
            <w:pPr>
              <w:rPr>
                <w:rFonts w:ascii="Arial" w:hAnsi="Arial" w:cs="Arial"/>
                <w:sz w:val="24"/>
                <w:szCs w:val="24"/>
              </w:rPr>
            </w:pPr>
            <w:r>
              <w:rPr>
                <w:rFonts w:ascii="Arial" w:hAnsi="Arial" w:cs="Arial"/>
                <w:sz w:val="24"/>
                <w:szCs w:val="24"/>
              </w:rPr>
              <w:t>To engage, listen and support Disabled staff so they feel engaged with and that their needs are taken into consideration and acted upon.</w:t>
            </w:r>
          </w:p>
        </w:tc>
        <w:tc>
          <w:tcPr>
            <w:tcW w:w="1827" w:type="dxa"/>
          </w:tcPr>
          <w:p w14:paraId="016F214E" w14:textId="1A8C704E" w:rsidR="004E5B1E" w:rsidRDefault="004E5B1E" w:rsidP="00943279">
            <w:pPr>
              <w:spacing w:after="200" w:line="276" w:lineRule="auto"/>
              <w:rPr>
                <w:rFonts w:ascii="Arial" w:hAnsi="Arial" w:cs="Arial"/>
                <w:b/>
                <w:bCs/>
                <w:sz w:val="24"/>
                <w:szCs w:val="24"/>
              </w:rPr>
            </w:pPr>
            <w:r w:rsidRPr="000567FE">
              <w:rPr>
                <w:rFonts w:ascii="Arial" w:hAnsi="Arial" w:cs="Arial"/>
                <w:sz w:val="24"/>
                <w:szCs w:val="24"/>
              </w:rPr>
              <w:t>The staff engagement score for the Trust</w:t>
            </w:r>
            <w:r>
              <w:rPr>
                <w:rFonts w:ascii="Arial" w:hAnsi="Arial" w:cs="Arial"/>
                <w:sz w:val="24"/>
                <w:szCs w:val="24"/>
              </w:rPr>
              <w:t>’s</w:t>
            </w:r>
            <w:r w:rsidRPr="000567FE">
              <w:rPr>
                <w:rFonts w:ascii="Arial" w:hAnsi="Arial" w:cs="Arial"/>
                <w:sz w:val="24"/>
                <w:szCs w:val="24"/>
              </w:rPr>
              <w:t xml:space="preserve"> is 6.5 and the score for Disabled colleagues is below this</w:t>
            </w:r>
            <w:r>
              <w:rPr>
                <w:rFonts w:ascii="Arial" w:hAnsi="Arial" w:cs="Arial"/>
                <w:sz w:val="24"/>
                <w:szCs w:val="24"/>
              </w:rPr>
              <w:t xml:space="preserve"> at 6.1.</w:t>
            </w:r>
            <w:r w:rsidRPr="000567FE">
              <w:rPr>
                <w:rFonts w:ascii="Arial" w:hAnsi="Arial" w:cs="Arial"/>
                <w:sz w:val="24"/>
                <w:szCs w:val="24"/>
              </w:rPr>
              <w:t xml:space="preserve"> The Staff Survey benchmark group average for Disabled people is 6.4 and the Trust’s is also slightly below this.</w:t>
            </w:r>
          </w:p>
        </w:tc>
        <w:tc>
          <w:tcPr>
            <w:tcW w:w="2605" w:type="dxa"/>
          </w:tcPr>
          <w:p w14:paraId="1F5D5C51" w14:textId="11E98908" w:rsidR="004E5B1E" w:rsidRDefault="004E5B1E" w:rsidP="00A02D5B">
            <w:pPr>
              <w:rPr>
                <w:rFonts w:ascii="Arial" w:hAnsi="Arial" w:cs="Arial"/>
                <w:sz w:val="24"/>
                <w:szCs w:val="24"/>
              </w:rPr>
            </w:pPr>
            <w:r>
              <w:rPr>
                <w:rFonts w:ascii="Arial" w:hAnsi="Arial" w:cs="Arial"/>
                <w:sz w:val="24"/>
                <w:szCs w:val="24"/>
              </w:rPr>
              <w:t>Improve mandatory equality, diversity and human rights training compliance. Target 85%</w:t>
            </w:r>
          </w:p>
        </w:tc>
        <w:tc>
          <w:tcPr>
            <w:tcW w:w="2004" w:type="dxa"/>
          </w:tcPr>
          <w:p w14:paraId="62D92923" w14:textId="7C3496AC" w:rsidR="004E5B1E" w:rsidRPr="00C75638" w:rsidRDefault="00B23ED5" w:rsidP="00A02D5B">
            <w:pPr>
              <w:rPr>
                <w:rFonts w:ascii="Arial" w:hAnsi="Arial" w:cs="Arial"/>
                <w:sz w:val="24"/>
                <w:szCs w:val="24"/>
              </w:rPr>
            </w:pPr>
            <w:r>
              <w:rPr>
                <w:rFonts w:ascii="Arial" w:hAnsi="Arial" w:cs="Arial"/>
                <w:sz w:val="24"/>
                <w:szCs w:val="24"/>
              </w:rPr>
              <w:t>All Directors</w:t>
            </w:r>
          </w:p>
        </w:tc>
        <w:tc>
          <w:tcPr>
            <w:tcW w:w="2100" w:type="dxa"/>
          </w:tcPr>
          <w:p w14:paraId="5BAB64FE" w14:textId="6C99C9A1" w:rsidR="004E5B1E" w:rsidRPr="00CD3800" w:rsidRDefault="004E5B1E" w:rsidP="00A02D5B">
            <w:pPr>
              <w:rPr>
                <w:rFonts w:ascii="Arial" w:hAnsi="Arial" w:cs="Arial"/>
                <w:sz w:val="24"/>
                <w:szCs w:val="24"/>
              </w:rPr>
            </w:pPr>
            <w:r w:rsidRPr="00C75638">
              <w:rPr>
                <w:rFonts w:ascii="Arial" w:hAnsi="Arial" w:cs="Arial"/>
                <w:sz w:val="24"/>
                <w:szCs w:val="24"/>
              </w:rPr>
              <w:t>EDI Workstream</w:t>
            </w:r>
            <w:r>
              <w:rPr>
                <w:rFonts w:ascii="Arial" w:hAnsi="Arial" w:cs="Arial"/>
                <w:sz w:val="24"/>
                <w:szCs w:val="24"/>
              </w:rPr>
              <w:t xml:space="preserve"> supported by Workforce Leads</w:t>
            </w:r>
          </w:p>
        </w:tc>
        <w:tc>
          <w:tcPr>
            <w:tcW w:w="1658" w:type="dxa"/>
          </w:tcPr>
          <w:p w14:paraId="594E5A3F" w14:textId="7289D1D0" w:rsidR="004E5B1E" w:rsidRPr="00B12190" w:rsidRDefault="00641DEC" w:rsidP="00A02D5B">
            <w:pPr>
              <w:rPr>
                <w:rFonts w:ascii="Arial" w:hAnsi="Arial" w:cs="Arial"/>
                <w:sz w:val="24"/>
                <w:szCs w:val="24"/>
              </w:rPr>
            </w:pPr>
            <w:r>
              <w:rPr>
                <w:rFonts w:ascii="Arial" w:hAnsi="Arial" w:cs="Arial"/>
                <w:sz w:val="24"/>
                <w:szCs w:val="24"/>
              </w:rPr>
              <w:t xml:space="preserve">Commence in </w:t>
            </w:r>
            <w:r w:rsidR="004E5B1E">
              <w:rPr>
                <w:rFonts w:ascii="Arial" w:hAnsi="Arial" w:cs="Arial"/>
                <w:sz w:val="24"/>
                <w:szCs w:val="24"/>
              </w:rPr>
              <w:t>Q1 2024</w:t>
            </w:r>
          </w:p>
        </w:tc>
        <w:tc>
          <w:tcPr>
            <w:tcW w:w="1857" w:type="dxa"/>
            <w:shd w:val="clear" w:color="auto" w:fill="00B0F0"/>
          </w:tcPr>
          <w:p w14:paraId="2DE90FAF" w14:textId="698FA8CA" w:rsidR="004E5B1E" w:rsidRDefault="004E5B1E" w:rsidP="00A02D5B">
            <w:pPr>
              <w:rPr>
                <w:rFonts w:ascii="Arial" w:hAnsi="Arial" w:cs="Arial"/>
                <w:b/>
                <w:bCs/>
                <w:sz w:val="24"/>
                <w:szCs w:val="24"/>
              </w:rPr>
            </w:pPr>
          </w:p>
        </w:tc>
      </w:tr>
      <w:tr w:rsidR="00641DEC" w14:paraId="4E0F2183" w14:textId="77777777" w:rsidTr="00336157">
        <w:tc>
          <w:tcPr>
            <w:tcW w:w="1897" w:type="dxa"/>
          </w:tcPr>
          <w:p w14:paraId="75466114" w14:textId="77777777" w:rsidR="004E5B1E" w:rsidRDefault="004E5B1E" w:rsidP="00A02D5B">
            <w:pPr>
              <w:rPr>
                <w:rFonts w:ascii="Arial" w:hAnsi="Arial" w:cs="Arial"/>
                <w:b/>
                <w:bCs/>
                <w:sz w:val="24"/>
                <w:szCs w:val="24"/>
              </w:rPr>
            </w:pPr>
          </w:p>
        </w:tc>
        <w:tc>
          <w:tcPr>
            <w:tcW w:w="1827" w:type="dxa"/>
          </w:tcPr>
          <w:p w14:paraId="2807417D" w14:textId="77777777" w:rsidR="004E5B1E" w:rsidRDefault="004E5B1E" w:rsidP="00A02D5B">
            <w:pPr>
              <w:rPr>
                <w:rFonts w:ascii="Arial" w:hAnsi="Arial" w:cs="Arial"/>
                <w:b/>
                <w:bCs/>
                <w:sz w:val="24"/>
                <w:szCs w:val="24"/>
              </w:rPr>
            </w:pPr>
          </w:p>
        </w:tc>
        <w:tc>
          <w:tcPr>
            <w:tcW w:w="2605" w:type="dxa"/>
          </w:tcPr>
          <w:p w14:paraId="396830C0" w14:textId="17E40E7D" w:rsidR="004E5B1E" w:rsidRDefault="004E5B1E" w:rsidP="00A02D5B">
            <w:pPr>
              <w:rPr>
                <w:rFonts w:ascii="Arial" w:hAnsi="Arial" w:cs="Arial"/>
                <w:sz w:val="24"/>
                <w:szCs w:val="24"/>
              </w:rPr>
            </w:pPr>
            <w:r w:rsidRPr="00E664E9">
              <w:rPr>
                <w:rFonts w:ascii="Arial" w:hAnsi="Arial" w:cs="Arial"/>
                <w:sz w:val="24"/>
                <w:szCs w:val="24"/>
              </w:rPr>
              <w:t>NHS England’s Culture and Leadership Programme will continue. Included within this will be the Behavioural Framework implementation, launch of the Civility, Respect and Resolution Policy, the importance of raising concerns and the FTSU remit</w:t>
            </w:r>
          </w:p>
        </w:tc>
        <w:tc>
          <w:tcPr>
            <w:tcW w:w="2004" w:type="dxa"/>
          </w:tcPr>
          <w:p w14:paraId="27DFB8B1" w14:textId="5E238DA7" w:rsidR="004E5B1E" w:rsidRPr="002405AD" w:rsidRDefault="00B23ED5" w:rsidP="00A02D5B">
            <w:pPr>
              <w:rPr>
                <w:rFonts w:ascii="Arial" w:hAnsi="Arial" w:cs="Arial"/>
                <w:sz w:val="24"/>
                <w:szCs w:val="24"/>
              </w:rPr>
            </w:pPr>
            <w:r>
              <w:rPr>
                <w:rFonts w:ascii="Arial" w:hAnsi="Arial" w:cs="Arial"/>
                <w:sz w:val="24"/>
                <w:szCs w:val="24"/>
              </w:rPr>
              <w:t>Director of Workforce and Organisational Development</w:t>
            </w:r>
          </w:p>
        </w:tc>
        <w:tc>
          <w:tcPr>
            <w:tcW w:w="2100" w:type="dxa"/>
          </w:tcPr>
          <w:p w14:paraId="6D231582" w14:textId="400C0319" w:rsidR="004E5B1E" w:rsidRPr="002405AD" w:rsidRDefault="004E5B1E" w:rsidP="00A02D5B">
            <w:pPr>
              <w:rPr>
                <w:rFonts w:ascii="Arial" w:hAnsi="Arial" w:cs="Arial"/>
                <w:sz w:val="24"/>
                <w:szCs w:val="24"/>
              </w:rPr>
            </w:pPr>
            <w:r w:rsidRPr="002405AD">
              <w:rPr>
                <w:rFonts w:ascii="Arial" w:hAnsi="Arial" w:cs="Arial"/>
                <w:sz w:val="24"/>
                <w:szCs w:val="24"/>
              </w:rPr>
              <w:t>Head of Employee Relations and Engagement</w:t>
            </w:r>
          </w:p>
        </w:tc>
        <w:tc>
          <w:tcPr>
            <w:tcW w:w="1658" w:type="dxa"/>
          </w:tcPr>
          <w:p w14:paraId="75FCFB4F" w14:textId="07A22DFF" w:rsidR="004E5B1E" w:rsidRPr="00E664E9" w:rsidRDefault="00641DEC" w:rsidP="00A02D5B">
            <w:pPr>
              <w:rPr>
                <w:rFonts w:ascii="Arial" w:hAnsi="Arial" w:cs="Arial"/>
                <w:sz w:val="24"/>
                <w:szCs w:val="24"/>
              </w:rPr>
            </w:pPr>
            <w:r>
              <w:rPr>
                <w:rFonts w:ascii="Arial" w:hAnsi="Arial" w:cs="Arial"/>
                <w:sz w:val="24"/>
                <w:szCs w:val="24"/>
              </w:rPr>
              <w:t xml:space="preserve">Commence in </w:t>
            </w:r>
            <w:r w:rsidR="00B23ED5">
              <w:rPr>
                <w:rFonts w:ascii="Arial" w:hAnsi="Arial" w:cs="Arial"/>
                <w:sz w:val="24"/>
                <w:szCs w:val="24"/>
              </w:rPr>
              <w:t>Q1 2024-Q2 2025</w:t>
            </w:r>
            <w:r w:rsidR="004E5B1E">
              <w:rPr>
                <w:rFonts w:ascii="Arial" w:hAnsi="Arial" w:cs="Arial"/>
                <w:sz w:val="24"/>
                <w:szCs w:val="24"/>
              </w:rPr>
              <w:t xml:space="preserve"> </w:t>
            </w:r>
          </w:p>
        </w:tc>
        <w:tc>
          <w:tcPr>
            <w:tcW w:w="1857" w:type="dxa"/>
            <w:shd w:val="clear" w:color="auto" w:fill="FFC000"/>
          </w:tcPr>
          <w:p w14:paraId="0541F2E0" w14:textId="4763249E" w:rsidR="004E5B1E" w:rsidRDefault="004E5B1E" w:rsidP="00A02D5B">
            <w:pPr>
              <w:rPr>
                <w:rFonts w:ascii="Arial" w:hAnsi="Arial" w:cs="Arial"/>
                <w:b/>
                <w:bCs/>
                <w:sz w:val="24"/>
                <w:szCs w:val="24"/>
              </w:rPr>
            </w:pPr>
          </w:p>
        </w:tc>
      </w:tr>
      <w:tr w:rsidR="00641DEC" w14:paraId="2C93098A" w14:textId="77777777" w:rsidTr="00336157">
        <w:tc>
          <w:tcPr>
            <w:tcW w:w="1897" w:type="dxa"/>
          </w:tcPr>
          <w:p w14:paraId="046DF984" w14:textId="77777777" w:rsidR="004E5B1E" w:rsidRDefault="004E5B1E" w:rsidP="00A02D5B">
            <w:pPr>
              <w:rPr>
                <w:rFonts w:ascii="Arial" w:hAnsi="Arial" w:cs="Arial"/>
                <w:b/>
                <w:bCs/>
                <w:sz w:val="24"/>
                <w:szCs w:val="24"/>
              </w:rPr>
            </w:pPr>
          </w:p>
        </w:tc>
        <w:tc>
          <w:tcPr>
            <w:tcW w:w="1827" w:type="dxa"/>
          </w:tcPr>
          <w:p w14:paraId="0A0A00B1" w14:textId="1E895631" w:rsidR="004E5B1E" w:rsidRPr="00B80AF5" w:rsidRDefault="004E5B1E" w:rsidP="00A02D5B">
            <w:pPr>
              <w:rPr>
                <w:rFonts w:ascii="Arial" w:hAnsi="Arial" w:cs="Arial"/>
                <w:sz w:val="24"/>
                <w:szCs w:val="24"/>
              </w:rPr>
            </w:pPr>
          </w:p>
        </w:tc>
        <w:tc>
          <w:tcPr>
            <w:tcW w:w="2605" w:type="dxa"/>
          </w:tcPr>
          <w:p w14:paraId="3CC94192" w14:textId="15BC47C8" w:rsidR="004E5B1E" w:rsidRPr="00E664E9" w:rsidRDefault="004E5B1E" w:rsidP="00A02D5B">
            <w:pPr>
              <w:rPr>
                <w:rFonts w:ascii="Arial" w:hAnsi="Arial" w:cs="Arial"/>
                <w:sz w:val="24"/>
                <w:szCs w:val="24"/>
              </w:rPr>
            </w:pPr>
            <w:r>
              <w:rPr>
                <w:rFonts w:ascii="Arial" w:hAnsi="Arial" w:cs="Arial"/>
                <w:sz w:val="24"/>
                <w:szCs w:val="24"/>
              </w:rPr>
              <w:t>Extend the remit of the Enable Staff Network to include Neurodiversity</w:t>
            </w:r>
          </w:p>
        </w:tc>
        <w:tc>
          <w:tcPr>
            <w:tcW w:w="2004" w:type="dxa"/>
          </w:tcPr>
          <w:p w14:paraId="0C994E62" w14:textId="776551EC" w:rsidR="004E5B1E" w:rsidRDefault="00052302" w:rsidP="006164C6">
            <w:pPr>
              <w:pStyle w:val="Default"/>
            </w:pPr>
            <w:r>
              <w:t>Director of Finance</w:t>
            </w:r>
          </w:p>
        </w:tc>
        <w:tc>
          <w:tcPr>
            <w:tcW w:w="2100" w:type="dxa"/>
          </w:tcPr>
          <w:p w14:paraId="0FE54B85" w14:textId="4CBD1346" w:rsidR="004E5B1E" w:rsidRPr="002405AD" w:rsidRDefault="004E5B1E" w:rsidP="006164C6">
            <w:pPr>
              <w:pStyle w:val="Default"/>
            </w:pPr>
            <w:r>
              <w:t>Enable Staff Network Chair</w:t>
            </w:r>
          </w:p>
        </w:tc>
        <w:tc>
          <w:tcPr>
            <w:tcW w:w="1658" w:type="dxa"/>
          </w:tcPr>
          <w:p w14:paraId="6A8ED9BF" w14:textId="41D23436" w:rsidR="004E5B1E" w:rsidRDefault="00065ED1" w:rsidP="00A873E0">
            <w:pPr>
              <w:rPr>
                <w:rFonts w:ascii="Arial" w:hAnsi="Arial" w:cs="Arial"/>
                <w:sz w:val="24"/>
                <w:szCs w:val="24"/>
              </w:rPr>
            </w:pPr>
            <w:r>
              <w:rPr>
                <w:rFonts w:ascii="Arial" w:hAnsi="Arial" w:cs="Arial"/>
                <w:sz w:val="24"/>
                <w:szCs w:val="24"/>
              </w:rPr>
              <w:t>Q2 2023</w:t>
            </w:r>
          </w:p>
        </w:tc>
        <w:tc>
          <w:tcPr>
            <w:tcW w:w="1857" w:type="dxa"/>
            <w:shd w:val="clear" w:color="auto" w:fill="92D050"/>
          </w:tcPr>
          <w:p w14:paraId="05446994" w14:textId="3829D3BC" w:rsidR="004E5B1E" w:rsidRDefault="004E5B1E" w:rsidP="00A02D5B">
            <w:pPr>
              <w:rPr>
                <w:rFonts w:ascii="Arial" w:hAnsi="Arial" w:cs="Arial"/>
                <w:b/>
                <w:bCs/>
                <w:sz w:val="24"/>
                <w:szCs w:val="24"/>
              </w:rPr>
            </w:pPr>
          </w:p>
        </w:tc>
      </w:tr>
      <w:tr w:rsidR="00641DEC" w14:paraId="2BF8F33A" w14:textId="77777777" w:rsidTr="00336157">
        <w:tc>
          <w:tcPr>
            <w:tcW w:w="1897" w:type="dxa"/>
          </w:tcPr>
          <w:p w14:paraId="0CDDD8A9" w14:textId="77777777" w:rsidR="004E5B1E" w:rsidRDefault="004E5B1E" w:rsidP="00A02D5B">
            <w:pPr>
              <w:rPr>
                <w:rFonts w:ascii="Arial" w:hAnsi="Arial" w:cs="Arial"/>
                <w:b/>
                <w:bCs/>
                <w:sz w:val="24"/>
                <w:szCs w:val="24"/>
              </w:rPr>
            </w:pPr>
          </w:p>
        </w:tc>
        <w:tc>
          <w:tcPr>
            <w:tcW w:w="1827" w:type="dxa"/>
          </w:tcPr>
          <w:p w14:paraId="35CD7C8C" w14:textId="77777777" w:rsidR="004E5B1E" w:rsidRPr="00B80AF5" w:rsidRDefault="004E5B1E" w:rsidP="00A02D5B">
            <w:pPr>
              <w:rPr>
                <w:rFonts w:ascii="Arial" w:hAnsi="Arial" w:cs="Arial"/>
                <w:sz w:val="24"/>
                <w:szCs w:val="24"/>
              </w:rPr>
            </w:pPr>
          </w:p>
        </w:tc>
        <w:tc>
          <w:tcPr>
            <w:tcW w:w="2605" w:type="dxa"/>
          </w:tcPr>
          <w:p w14:paraId="272FE6B2" w14:textId="0504C878" w:rsidR="004E5B1E" w:rsidRDefault="004E5B1E" w:rsidP="00A02D5B">
            <w:pPr>
              <w:rPr>
                <w:rFonts w:ascii="Arial" w:hAnsi="Arial" w:cs="Arial"/>
                <w:sz w:val="24"/>
                <w:szCs w:val="24"/>
              </w:rPr>
            </w:pPr>
            <w:r>
              <w:rPr>
                <w:rFonts w:ascii="Arial" w:hAnsi="Arial" w:cs="Arial"/>
                <w:sz w:val="24"/>
                <w:szCs w:val="24"/>
              </w:rPr>
              <w:t>Continue to implement the Neurodiversity at Work workshop</w:t>
            </w:r>
          </w:p>
        </w:tc>
        <w:tc>
          <w:tcPr>
            <w:tcW w:w="2004" w:type="dxa"/>
          </w:tcPr>
          <w:p w14:paraId="48BD508B" w14:textId="67F17EB1" w:rsidR="004E5B1E" w:rsidRDefault="00336157" w:rsidP="006164C6">
            <w:pPr>
              <w:pStyle w:val="Default"/>
            </w:pPr>
            <w:r>
              <w:t>Polly McMeekin, Director of Workforce and Organisational Development</w:t>
            </w:r>
          </w:p>
        </w:tc>
        <w:tc>
          <w:tcPr>
            <w:tcW w:w="2100" w:type="dxa"/>
          </w:tcPr>
          <w:p w14:paraId="73B1FA5A" w14:textId="7060B2EE" w:rsidR="004E5B1E" w:rsidRDefault="004E5B1E" w:rsidP="006164C6">
            <w:pPr>
              <w:pStyle w:val="Default"/>
            </w:pPr>
            <w:r>
              <w:t>Head of EDI</w:t>
            </w:r>
          </w:p>
        </w:tc>
        <w:tc>
          <w:tcPr>
            <w:tcW w:w="1658" w:type="dxa"/>
          </w:tcPr>
          <w:p w14:paraId="0DDE37AC" w14:textId="077E1331" w:rsidR="004E5B1E" w:rsidRDefault="00065ED1" w:rsidP="00A873E0">
            <w:pPr>
              <w:rPr>
                <w:rFonts w:ascii="Arial" w:hAnsi="Arial" w:cs="Arial"/>
                <w:sz w:val="24"/>
                <w:szCs w:val="24"/>
              </w:rPr>
            </w:pPr>
            <w:r>
              <w:rPr>
                <w:rFonts w:ascii="Arial" w:hAnsi="Arial" w:cs="Arial"/>
                <w:sz w:val="24"/>
                <w:szCs w:val="24"/>
              </w:rPr>
              <w:t>Q2 2023</w:t>
            </w:r>
          </w:p>
        </w:tc>
        <w:tc>
          <w:tcPr>
            <w:tcW w:w="1857" w:type="dxa"/>
            <w:shd w:val="clear" w:color="auto" w:fill="92D050"/>
          </w:tcPr>
          <w:p w14:paraId="210A8765" w14:textId="0AB2E578" w:rsidR="004E5B1E" w:rsidRDefault="004E5B1E" w:rsidP="00A02D5B">
            <w:pPr>
              <w:rPr>
                <w:rFonts w:ascii="Arial" w:hAnsi="Arial" w:cs="Arial"/>
                <w:b/>
                <w:bCs/>
                <w:sz w:val="24"/>
                <w:szCs w:val="24"/>
              </w:rPr>
            </w:pPr>
          </w:p>
        </w:tc>
      </w:tr>
      <w:tr w:rsidR="00641DEC" w14:paraId="7BD41A8E" w14:textId="77777777" w:rsidTr="00336157">
        <w:tc>
          <w:tcPr>
            <w:tcW w:w="1897" w:type="dxa"/>
          </w:tcPr>
          <w:p w14:paraId="6F19D4D2" w14:textId="77777777" w:rsidR="004E5B1E" w:rsidRDefault="004E5B1E" w:rsidP="00A02D5B">
            <w:pPr>
              <w:rPr>
                <w:rFonts w:ascii="Arial" w:hAnsi="Arial" w:cs="Arial"/>
                <w:b/>
                <w:bCs/>
                <w:sz w:val="24"/>
                <w:szCs w:val="24"/>
              </w:rPr>
            </w:pPr>
          </w:p>
        </w:tc>
        <w:tc>
          <w:tcPr>
            <w:tcW w:w="1827" w:type="dxa"/>
          </w:tcPr>
          <w:p w14:paraId="4D067E10" w14:textId="77777777" w:rsidR="004E5B1E" w:rsidRPr="00B80AF5" w:rsidRDefault="004E5B1E" w:rsidP="00A02D5B">
            <w:pPr>
              <w:rPr>
                <w:rFonts w:ascii="Arial" w:hAnsi="Arial" w:cs="Arial"/>
                <w:sz w:val="24"/>
                <w:szCs w:val="24"/>
              </w:rPr>
            </w:pPr>
          </w:p>
        </w:tc>
        <w:tc>
          <w:tcPr>
            <w:tcW w:w="2605" w:type="dxa"/>
            <w:shd w:val="clear" w:color="auto" w:fill="auto"/>
          </w:tcPr>
          <w:p w14:paraId="0D1F1CBC" w14:textId="4F03674F" w:rsidR="004E5B1E" w:rsidRDefault="004E5B1E" w:rsidP="00A02D5B">
            <w:pPr>
              <w:rPr>
                <w:rFonts w:ascii="Arial" w:hAnsi="Arial" w:cs="Arial"/>
                <w:sz w:val="24"/>
                <w:szCs w:val="24"/>
              </w:rPr>
            </w:pPr>
            <w:r>
              <w:rPr>
                <w:rFonts w:ascii="Arial" w:hAnsi="Arial" w:cs="Arial"/>
                <w:sz w:val="24"/>
                <w:szCs w:val="24"/>
              </w:rPr>
              <w:t xml:space="preserve">As well as continuing to include Disabled staff in Staff Stories to the Trust’s Board of Directors, feature Disabled staff in the new EDI section of Staff Matters, raising </w:t>
            </w:r>
            <w:r>
              <w:rPr>
                <w:rFonts w:ascii="Arial" w:hAnsi="Arial" w:cs="Arial"/>
                <w:sz w:val="24"/>
                <w:szCs w:val="24"/>
              </w:rPr>
              <w:lastRenderedPageBreak/>
              <w:t>awareness promoting good practice and role models</w:t>
            </w:r>
          </w:p>
        </w:tc>
        <w:tc>
          <w:tcPr>
            <w:tcW w:w="2004" w:type="dxa"/>
          </w:tcPr>
          <w:p w14:paraId="05B2C85E" w14:textId="238B4F47" w:rsidR="004E5B1E" w:rsidRDefault="00336157" w:rsidP="006164C6">
            <w:pPr>
              <w:pStyle w:val="Default"/>
            </w:pPr>
            <w:r>
              <w:lastRenderedPageBreak/>
              <w:t>Director of Communications</w:t>
            </w:r>
          </w:p>
        </w:tc>
        <w:tc>
          <w:tcPr>
            <w:tcW w:w="2100" w:type="dxa"/>
          </w:tcPr>
          <w:p w14:paraId="7D9E0181" w14:textId="21C7B68B" w:rsidR="004E5B1E" w:rsidRDefault="004E5B1E" w:rsidP="006164C6">
            <w:pPr>
              <w:pStyle w:val="Default"/>
            </w:pPr>
            <w:r>
              <w:t>Head of EDI and Communications Team</w:t>
            </w:r>
          </w:p>
        </w:tc>
        <w:tc>
          <w:tcPr>
            <w:tcW w:w="1658" w:type="dxa"/>
          </w:tcPr>
          <w:p w14:paraId="31ACAE52" w14:textId="7DB212E7" w:rsidR="004E5B1E" w:rsidRDefault="00336157" w:rsidP="00A873E0">
            <w:pPr>
              <w:rPr>
                <w:rFonts w:ascii="Arial" w:hAnsi="Arial" w:cs="Arial"/>
                <w:sz w:val="24"/>
                <w:szCs w:val="24"/>
              </w:rPr>
            </w:pPr>
            <w:r>
              <w:rPr>
                <w:rFonts w:ascii="Arial" w:hAnsi="Arial" w:cs="Arial"/>
                <w:sz w:val="24"/>
                <w:szCs w:val="24"/>
              </w:rPr>
              <w:t>Commence in 2024</w:t>
            </w:r>
          </w:p>
        </w:tc>
        <w:tc>
          <w:tcPr>
            <w:tcW w:w="1857" w:type="dxa"/>
            <w:shd w:val="clear" w:color="auto" w:fill="00B0F0"/>
          </w:tcPr>
          <w:p w14:paraId="48A84E63" w14:textId="77777777" w:rsidR="004E5B1E" w:rsidRDefault="004E5B1E" w:rsidP="00A02D5B">
            <w:pPr>
              <w:rPr>
                <w:rFonts w:ascii="Arial" w:hAnsi="Arial" w:cs="Arial"/>
                <w:b/>
                <w:bCs/>
                <w:sz w:val="24"/>
                <w:szCs w:val="24"/>
              </w:rPr>
            </w:pPr>
          </w:p>
        </w:tc>
      </w:tr>
      <w:tr w:rsidR="00336157" w14:paraId="43332164" w14:textId="77777777" w:rsidTr="006301BA">
        <w:tc>
          <w:tcPr>
            <w:tcW w:w="13948" w:type="dxa"/>
            <w:gridSpan w:val="7"/>
            <w:shd w:val="clear" w:color="auto" w:fill="BDD6EE" w:themeFill="accent5" w:themeFillTint="66"/>
          </w:tcPr>
          <w:p w14:paraId="6253C82C" w14:textId="36BD77C5" w:rsidR="00336157" w:rsidRDefault="00336157" w:rsidP="00A02D5B">
            <w:pPr>
              <w:rPr>
                <w:rFonts w:ascii="Arial" w:hAnsi="Arial" w:cs="Arial"/>
                <w:b/>
                <w:bCs/>
                <w:sz w:val="24"/>
                <w:szCs w:val="24"/>
              </w:rPr>
            </w:pPr>
            <w:r>
              <w:rPr>
                <w:rFonts w:ascii="Arial" w:hAnsi="Arial" w:cs="Arial"/>
                <w:b/>
                <w:bCs/>
                <w:sz w:val="24"/>
                <w:szCs w:val="24"/>
              </w:rPr>
              <w:t>Indicator 10 Disabled Board members – Percentage difference between the organisation’s Board voting membership and its overall workforce</w:t>
            </w:r>
          </w:p>
        </w:tc>
      </w:tr>
      <w:tr w:rsidR="00641DEC" w14:paraId="6443873C" w14:textId="77777777" w:rsidTr="00336157">
        <w:tc>
          <w:tcPr>
            <w:tcW w:w="1897" w:type="dxa"/>
          </w:tcPr>
          <w:p w14:paraId="310197A7" w14:textId="604DE6F9" w:rsidR="004E5B1E" w:rsidRPr="004D7D24" w:rsidRDefault="004E5B1E" w:rsidP="00A02D5B">
            <w:pPr>
              <w:rPr>
                <w:rFonts w:ascii="Arial" w:hAnsi="Arial" w:cs="Arial"/>
                <w:sz w:val="24"/>
                <w:szCs w:val="24"/>
              </w:rPr>
            </w:pPr>
            <w:r>
              <w:rPr>
                <w:rFonts w:ascii="Arial" w:hAnsi="Arial" w:cs="Arial"/>
                <w:sz w:val="24"/>
                <w:szCs w:val="24"/>
              </w:rPr>
              <w:t>Increase the number of Disabled Board members to be more reflective of the organisation</w:t>
            </w:r>
          </w:p>
        </w:tc>
        <w:tc>
          <w:tcPr>
            <w:tcW w:w="1827" w:type="dxa"/>
          </w:tcPr>
          <w:p w14:paraId="1F28C33B" w14:textId="501ED431" w:rsidR="004E5B1E" w:rsidRDefault="004E5B1E" w:rsidP="00EC07E4">
            <w:pPr>
              <w:rPr>
                <w:bCs/>
                <w:szCs w:val="24"/>
              </w:rPr>
            </w:pPr>
            <w:r>
              <w:rPr>
                <w:rFonts w:ascii="Arial" w:hAnsi="Arial" w:cs="Arial"/>
                <w:bCs/>
                <w:sz w:val="24"/>
                <w:szCs w:val="24"/>
              </w:rPr>
              <w:t>This</w:t>
            </w:r>
            <w:r w:rsidRPr="00EC07E4">
              <w:rPr>
                <w:rFonts w:ascii="Arial" w:hAnsi="Arial" w:cs="Arial"/>
                <w:bCs/>
                <w:sz w:val="24"/>
                <w:szCs w:val="24"/>
              </w:rPr>
              <w:t xml:space="preserve"> has seen a decrease in the number of staff who identify as Disabled, this is due to an increase in the number of Board members and how they identify</w:t>
            </w:r>
            <w:r>
              <w:rPr>
                <w:bCs/>
                <w:szCs w:val="24"/>
              </w:rPr>
              <w:t xml:space="preserve">. </w:t>
            </w:r>
            <w:r w:rsidRPr="00FA295E">
              <w:rPr>
                <w:rFonts w:ascii="Arial" w:hAnsi="Arial" w:cs="Arial"/>
                <w:bCs/>
                <w:sz w:val="24"/>
                <w:szCs w:val="24"/>
              </w:rPr>
              <w:t xml:space="preserve">One out of 17 Board Members identify as </w:t>
            </w:r>
            <w:r>
              <w:rPr>
                <w:rFonts w:ascii="Arial" w:hAnsi="Arial" w:cs="Arial"/>
                <w:bCs/>
                <w:sz w:val="24"/>
                <w:szCs w:val="24"/>
              </w:rPr>
              <w:t>D</w:t>
            </w:r>
            <w:r w:rsidRPr="00FA295E">
              <w:rPr>
                <w:rFonts w:ascii="Arial" w:hAnsi="Arial" w:cs="Arial"/>
                <w:bCs/>
                <w:sz w:val="24"/>
                <w:szCs w:val="24"/>
              </w:rPr>
              <w:t>isabled</w:t>
            </w:r>
          </w:p>
          <w:p w14:paraId="2523C087" w14:textId="0641A377" w:rsidR="004E5B1E" w:rsidRPr="00432877" w:rsidRDefault="004E5B1E" w:rsidP="009705DA">
            <w:pPr>
              <w:rPr>
                <w:rFonts w:ascii="Arial" w:hAnsi="Arial" w:cs="Arial"/>
                <w:sz w:val="24"/>
                <w:szCs w:val="24"/>
              </w:rPr>
            </w:pPr>
          </w:p>
        </w:tc>
        <w:tc>
          <w:tcPr>
            <w:tcW w:w="2605" w:type="dxa"/>
          </w:tcPr>
          <w:p w14:paraId="679DD33B" w14:textId="3218F7AD" w:rsidR="004E5B1E" w:rsidRDefault="004E5B1E" w:rsidP="00A02D5B">
            <w:pPr>
              <w:rPr>
                <w:rFonts w:ascii="Arial" w:hAnsi="Arial" w:cs="Arial"/>
                <w:sz w:val="24"/>
                <w:szCs w:val="24"/>
              </w:rPr>
            </w:pPr>
            <w:r>
              <w:rPr>
                <w:rFonts w:ascii="Arial" w:hAnsi="Arial" w:cs="Arial"/>
                <w:sz w:val="24"/>
                <w:szCs w:val="24"/>
              </w:rPr>
              <w:t>Associate Director of Governance to engage with staff networks to review Chair and NED recruitment documentation for any barriers</w:t>
            </w:r>
          </w:p>
        </w:tc>
        <w:tc>
          <w:tcPr>
            <w:tcW w:w="2004" w:type="dxa"/>
          </w:tcPr>
          <w:p w14:paraId="1DF7245B" w14:textId="54264BE3" w:rsidR="004E5B1E" w:rsidRDefault="00052302" w:rsidP="00A02D5B">
            <w:pPr>
              <w:rPr>
                <w:rFonts w:ascii="Arial" w:hAnsi="Arial" w:cs="Arial"/>
                <w:sz w:val="24"/>
                <w:szCs w:val="24"/>
              </w:rPr>
            </w:pPr>
            <w:r>
              <w:rPr>
                <w:rFonts w:ascii="Arial" w:hAnsi="Arial" w:cs="Arial"/>
                <w:sz w:val="24"/>
                <w:szCs w:val="24"/>
              </w:rPr>
              <w:t xml:space="preserve">The Trust’s </w:t>
            </w:r>
            <w:r w:rsidR="00336157">
              <w:rPr>
                <w:rFonts w:ascii="Arial" w:hAnsi="Arial" w:cs="Arial"/>
                <w:sz w:val="24"/>
                <w:szCs w:val="24"/>
              </w:rPr>
              <w:t>Chair</w:t>
            </w:r>
          </w:p>
        </w:tc>
        <w:tc>
          <w:tcPr>
            <w:tcW w:w="2100" w:type="dxa"/>
          </w:tcPr>
          <w:p w14:paraId="2CBD769F" w14:textId="6663CE88" w:rsidR="004E5B1E" w:rsidRDefault="004E5B1E" w:rsidP="00A02D5B">
            <w:pPr>
              <w:rPr>
                <w:rFonts w:ascii="Arial" w:hAnsi="Arial" w:cs="Arial"/>
                <w:b/>
                <w:bCs/>
                <w:sz w:val="24"/>
                <w:szCs w:val="24"/>
              </w:rPr>
            </w:pPr>
            <w:r>
              <w:rPr>
                <w:rFonts w:ascii="Arial" w:hAnsi="Arial" w:cs="Arial"/>
                <w:sz w:val="24"/>
                <w:szCs w:val="24"/>
              </w:rPr>
              <w:t>Associate Director of Governance</w:t>
            </w:r>
          </w:p>
        </w:tc>
        <w:tc>
          <w:tcPr>
            <w:tcW w:w="1658" w:type="dxa"/>
          </w:tcPr>
          <w:p w14:paraId="7B7C72B9" w14:textId="2F8A2B58" w:rsidR="004E5B1E" w:rsidRPr="00140721" w:rsidRDefault="000F53DD" w:rsidP="00A02D5B">
            <w:pPr>
              <w:rPr>
                <w:rFonts w:ascii="Arial" w:hAnsi="Arial" w:cs="Arial"/>
                <w:sz w:val="24"/>
                <w:szCs w:val="24"/>
              </w:rPr>
            </w:pPr>
            <w:r>
              <w:rPr>
                <w:rFonts w:ascii="Arial" w:hAnsi="Arial" w:cs="Arial"/>
                <w:sz w:val="24"/>
                <w:szCs w:val="24"/>
              </w:rPr>
              <w:t>Q3</w:t>
            </w:r>
            <w:r w:rsidR="004E5B1E" w:rsidRPr="00140721">
              <w:rPr>
                <w:rFonts w:ascii="Arial" w:hAnsi="Arial" w:cs="Arial"/>
                <w:sz w:val="24"/>
                <w:szCs w:val="24"/>
              </w:rPr>
              <w:t xml:space="preserve"> 2023</w:t>
            </w:r>
          </w:p>
        </w:tc>
        <w:tc>
          <w:tcPr>
            <w:tcW w:w="1857" w:type="dxa"/>
            <w:shd w:val="clear" w:color="auto" w:fill="92D050"/>
          </w:tcPr>
          <w:p w14:paraId="704A0F8D" w14:textId="6C9AA4C8" w:rsidR="004E5B1E" w:rsidRPr="00140721" w:rsidRDefault="004E5B1E" w:rsidP="00A02D5B">
            <w:pPr>
              <w:rPr>
                <w:rFonts w:ascii="Arial" w:hAnsi="Arial" w:cs="Arial"/>
                <w:sz w:val="24"/>
                <w:szCs w:val="24"/>
              </w:rPr>
            </w:pPr>
          </w:p>
        </w:tc>
      </w:tr>
      <w:tr w:rsidR="00641DEC" w14:paraId="43AC3BFC" w14:textId="77777777" w:rsidTr="00336157">
        <w:tc>
          <w:tcPr>
            <w:tcW w:w="1897" w:type="dxa"/>
          </w:tcPr>
          <w:p w14:paraId="16C7B4D7" w14:textId="77777777" w:rsidR="004E5B1E" w:rsidRDefault="004E5B1E" w:rsidP="00A02D5B">
            <w:pPr>
              <w:rPr>
                <w:rFonts w:ascii="Arial" w:hAnsi="Arial" w:cs="Arial"/>
                <w:b/>
                <w:bCs/>
                <w:sz w:val="24"/>
                <w:szCs w:val="24"/>
              </w:rPr>
            </w:pPr>
          </w:p>
        </w:tc>
        <w:tc>
          <w:tcPr>
            <w:tcW w:w="1827" w:type="dxa"/>
          </w:tcPr>
          <w:p w14:paraId="06715DF9" w14:textId="77777777" w:rsidR="004E5B1E" w:rsidRPr="00432877" w:rsidRDefault="004E5B1E" w:rsidP="00A02D5B">
            <w:pPr>
              <w:rPr>
                <w:rFonts w:ascii="Arial" w:hAnsi="Arial" w:cs="Arial"/>
                <w:sz w:val="24"/>
                <w:szCs w:val="24"/>
              </w:rPr>
            </w:pPr>
          </w:p>
        </w:tc>
        <w:tc>
          <w:tcPr>
            <w:tcW w:w="2605" w:type="dxa"/>
          </w:tcPr>
          <w:p w14:paraId="462EBFF8" w14:textId="09C1B139" w:rsidR="004E5B1E" w:rsidRDefault="004E5B1E" w:rsidP="00A02D5B">
            <w:pPr>
              <w:rPr>
                <w:rFonts w:ascii="Arial" w:hAnsi="Arial" w:cs="Arial"/>
                <w:sz w:val="24"/>
                <w:szCs w:val="24"/>
              </w:rPr>
            </w:pPr>
            <w:r>
              <w:rPr>
                <w:rFonts w:ascii="Arial" w:hAnsi="Arial" w:cs="Arial"/>
                <w:sz w:val="24"/>
                <w:szCs w:val="24"/>
              </w:rPr>
              <w:t>The Trust to continue  engage</w:t>
            </w:r>
            <w:r w:rsidR="00AC7D99">
              <w:rPr>
                <w:rFonts w:ascii="Arial" w:hAnsi="Arial" w:cs="Arial"/>
                <w:sz w:val="24"/>
                <w:szCs w:val="24"/>
              </w:rPr>
              <w:t>ment</w:t>
            </w:r>
            <w:r>
              <w:rPr>
                <w:rFonts w:ascii="Arial" w:hAnsi="Arial" w:cs="Arial"/>
                <w:sz w:val="24"/>
                <w:szCs w:val="24"/>
              </w:rPr>
              <w:t xml:space="preserve"> with </w:t>
            </w:r>
            <w:proofErr w:type="spellStart"/>
            <w:r>
              <w:rPr>
                <w:rFonts w:ascii="Arial" w:hAnsi="Arial" w:cs="Arial"/>
                <w:sz w:val="24"/>
                <w:szCs w:val="24"/>
              </w:rPr>
              <w:t>Gatenby</w:t>
            </w:r>
            <w:proofErr w:type="spellEnd"/>
            <w:r>
              <w:rPr>
                <w:rFonts w:ascii="Arial" w:hAnsi="Arial" w:cs="Arial"/>
                <w:sz w:val="24"/>
                <w:szCs w:val="24"/>
              </w:rPr>
              <w:t xml:space="preserve"> Sanderson’s Inspiring Leaders Programme to aid diverse recruitment</w:t>
            </w:r>
          </w:p>
        </w:tc>
        <w:tc>
          <w:tcPr>
            <w:tcW w:w="2004" w:type="dxa"/>
          </w:tcPr>
          <w:p w14:paraId="35B11475" w14:textId="09223653" w:rsidR="004E5B1E" w:rsidRDefault="00AC7D99" w:rsidP="00A02D5B">
            <w:pPr>
              <w:rPr>
                <w:rFonts w:ascii="Arial" w:hAnsi="Arial" w:cs="Arial"/>
                <w:sz w:val="24"/>
                <w:szCs w:val="24"/>
              </w:rPr>
            </w:pPr>
            <w:r>
              <w:rPr>
                <w:rFonts w:ascii="Arial" w:hAnsi="Arial" w:cs="Arial"/>
                <w:sz w:val="24"/>
                <w:szCs w:val="24"/>
              </w:rPr>
              <w:t>The Trust’s</w:t>
            </w:r>
            <w:r w:rsidR="00336157">
              <w:rPr>
                <w:rFonts w:ascii="Arial" w:hAnsi="Arial" w:cs="Arial"/>
                <w:sz w:val="24"/>
                <w:szCs w:val="24"/>
              </w:rPr>
              <w:t xml:space="preserve"> Chair</w:t>
            </w:r>
          </w:p>
        </w:tc>
        <w:tc>
          <w:tcPr>
            <w:tcW w:w="2100" w:type="dxa"/>
          </w:tcPr>
          <w:p w14:paraId="0A8774DF" w14:textId="2D3A6E95" w:rsidR="004E5B1E" w:rsidRDefault="004E5B1E" w:rsidP="00A02D5B">
            <w:pPr>
              <w:rPr>
                <w:rFonts w:ascii="Arial" w:hAnsi="Arial" w:cs="Arial"/>
                <w:b/>
                <w:bCs/>
                <w:sz w:val="24"/>
                <w:szCs w:val="24"/>
              </w:rPr>
            </w:pPr>
            <w:r>
              <w:rPr>
                <w:rFonts w:ascii="Arial" w:hAnsi="Arial" w:cs="Arial"/>
                <w:sz w:val="24"/>
                <w:szCs w:val="24"/>
              </w:rPr>
              <w:t>Associate Director of Governance</w:t>
            </w:r>
          </w:p>
        </w:tc>
        <w:tc>
          <w:tcPr>
            <w:tcW w:w="1658" w:type="dxa"/>
          </w:tcPr>
          <w:p w14:paraId="099B5872" w14:textId="3D2CDF83" w:rsidR="004E5B1E" w:rsidRPr="00240AA0" w:rsidRDefault="00641DEC" w:rsidP="00A02D5B">
            <w:pPr>
              <w:rPr>
                <w:rFonts w:ascii="Arial" w:hAnsi="Arial" w:cs="Arial"/>
                <w:sz w:val="24"/>
                <w:szCs w:val="24"/>
              </w:rPr>
            </w:pPr>
            <w:r>
              <w:rPr>
                <w:rFonts w:ascii="Arial" w:hAnsi="Arial" w:cs="Arial"/>
                <w:sz w:val="24"/>
                <w:szCs w:val="24"/>
              </w:rPr>
              <w:t xml:space="preserve">Commence in </w:t>
            </w:r>
            <w:r w:rsidR="000F53DD">
              <w:rPr>
                <w:rFonts w:ascii="Arial" w:hAnsi="Arial" w:cs="Arial"/>
                <w:sz w:val="24"/>
                <w:szCs w:val="24"/>
              </w:rPr>
              <w:t xml:space="preserve">Q3 </w:t>
            </w:r>
            <w:r w:rsidR="004E5B1E" w:rsidRPr="00240AA0">
              <w:rPr>
                <w:rFonts w:ascii="Arial" w:hAnsi="Arial" w:cs="Arial"/>
                <w:sz w:val="24"/>
                <w:szCs w:val="24"/>
              </w:rPr>
              <w:t>2023</w:t>
            </w:r>
          </w:p>
        </w:tc>
        <w:tc>
          <w:tcPr>
            <w:tcW w:w="1857" w:type="dxa"/>
            <w:shd w:val="clear" w:color="auto" w:fill="FFC000"/>
          </w:tcPr>
          <w:p w14:paraId="279CC131" w14:textId="52320164" w:rsidR="004E5B1E" w:rsidRPr="00240AA0" w:rsidRDefault="004E5B1E" w:rsidP="00A02D5B">
            <w:pPr>
              <w:rPr>
                <w:rFonts w:ascii="Arial" w:hAnsi="Arial" w:cs="Arial"/>
                <w:sz w:val="24"/>
                <w:szCs w:val="24"/>
              </w:rPr>
            </w:pPr>
          </w:p>
        </w:tc>
      </w:tr>
      <w:tr w:rsidR="00641DEC" w14:paraId="32B54B8E" w14:textId="77777777" w:rsidTr="00336157">
        <w:tc>
          <w:tcPr>
            <w:tcW w:w="1897" w:type="dxa"/>
          </w:tcPr>
          <w:p w14:paraId="691ED15B" w14:textId="77777777" w:rsidR="004E5B1E" w:rsidRDefault="004E5B1E" w:rsidP="00A02D5B">
            <w:pPr>
              <w:rPr>
                <w:rFonts w:ascii="Arial" w:hAnsi="Arial" w:cs="Arial"/>
                <w:b/>
                <w:bCs/>
                <w:sz w:val="24"/>
                <w:szCs w:val="24"/>
              </w:rPr>
            </w:pPr>
          </w:p>
        </w:tc>
        <w:tc>
          <w:tcPr>
            <w:tcW w:w="1827" w:type="dxa"/>
          </w:tcPr>
          <w:p w14:paraId="5E528BD7" w14:textId="77777777" w:rsidR="004E5B1E" w:rsidRPr="00432877" w:rsidRDefault="004E5B1E" w:rsidP="00A02D5B">
            <w:pPr>
              <w:rPr>
                <w:rFonts w:ascii="Arial" w:hAnsi="Arial" w:cs="Arial"/>
                <w:sz w:val="24"/>
                <w:szCs w:val="24"/>
              </w:rPr>
            </w:pPr>
          </w:p>
        </w:tc>
        <w:tc>
          <w:tcPr>
            <w:tcW w:w="2605" w:type="dxa"/>
          </w:tcPr>
          <w:p w14:paraId="1FCB93A5" w14:textId="3D8C9B67" w:rsidR="004E5B1E" w:rsidRDefault="004E5B1E" w:rsidP="00A02D5B">
            <w:pPr>
              <w:rPr>
                <w:rFonts w:ascii="Arial" w:hAnsi="Arial" w:cs="Arial"/>
                <w:sz w:val="24"/>
                <w:szCs w:val="24"/>
              </w:rPr>
            </w:pPr>
            <w:r>
              <w:rPr>
                <w:rFonts w:ascii="Arial" w:hAnsi="Arial" w:cs="Arial"/>
                <w:sz w:val="24"/>
                <w:szCs w:val="24"/>
              </w:rPr>
              <w:t>Head of EDI to review Chair’s JD &amp; PS for any potential barriers</w:t>
            </w:r>
          </w:p>
        </w:tc>
        <w:tc>
          <w:tcPr>
            <w:tcW w:w="2004" w:type="dxa"/>
          </w:tcPr>
          <w:p w14:paraId="4890433A" w14:textId="008AB86B" w:rsidR="004E5B1E" w:rsidRPr="001D0A8D" w:rsidRDefault="003E4A29" w:rsidP="00A02D5B">
            <w:pPr>
              <w:rPr>
                <w:rFonts w:ascii="Arial" w:hAnsi="Arial" w:cs="Arial"/>
                <w:sz w:val="24"/>
                <w:szCs w:val="24"/>
              </w:rPr>
            </w:pPr>
            <w:r>
              <w:rPr>
                <w:rFonts w:ascii="Arial" w:hAnsi="Arial" w:cs="Arial"/>
                <w:sz w:val="24"/>
                <w:szCs w:val="24"/>
              </w:rPr>
              <w:t>Director of Workforce and Organisational Development</w:t>
            </w:r>
          </w:p>
        </w:tc>
        <w:tc>
          <w:tcPr>
            <w:tcW w:w="2100" w:type="dxa"/>
          </w:tcPr>
          <w:p w14:paraId="5FEBE0EE" w14:textId="656AAD89" w:rsidR="004E5B1E" w:rsidRPr="001D0A8D" w:rsidRDefault="004E5B1E" w:rsidP="00A02D5B">
            <w:pPr>
              <w:rPr>
                <w:rFonts w:ascii="Arial" w:hAnsi="Arial" w:cs="Arial"/>
                <w:sz w:val="24"/>
                <w:szCs w:val="24"/>
              </w:rPr>
            </w:pPr>
            <w:r w:rsidRPr="001D0A8D">
              <w:rPr>
                <w:rFonts w:ascii="Arial" w:hAnsi="Arial" w:cs="Arial"/>
                <w:sz w:val="24"/>
                <w:szCs w:val="24"/>
              </w:rPr>
              <w:t>Head of EDI</w:t>
            </w:r>
          </w:p>
        </w:tc>
        <w:tc>
          <w:tcPr>
            <w:tcW w:w="1658" w:type="dxa"/>
          </w:tcPr>
          <w:p w14:paraId="7720E8F1" w14:textId="0CD72186" w:rsidR="004E5B1E" w:rsidRPr="001D0A8D" w:rsidRDefault="004E5B1E" w:rsidP="00A02D5B">
            <w:pPr>
              <w:rPr>
                <w:rFonts w:ascii="Arial" w:hAnsi="Arial" w:cs="Arial"/>
                <w:sz w:val="24"/>
                <w:szCs w:val="24"/>
              </w:rPr>
            </w:pPr>
            <w:r w:rsidRPr="001D0A8D">
              <w:rPr>
                <w:rFonts w:ascii="Arial" w:hAnsi="Arial" w:cs="Arial"/>
                <w:sz w:val="24"/>
                <w:szCs w:val="24"/>
              </w:rPr>
              <w:t>July 2023</w:t>
            </w:r>
          </w:p>
        </w:tc>
        <w:tc>
          <w:tcPr>
            <w:tcW w:w="1857" w:type="dxa"/>
            <w:shd w:val="clear" w:color="auto" w:fill="92D050"/>
          </w:tcPr>
          <w:p w14:paraId="449567A0" w14:textId="77777777" w:rsidR="004E5B1E" w:rsidRDefault="004E5B1E" w:rsidP="00A02D5B">
            <w:pPr>
              <w:rPr>
                <w:rFonts w:ascii="Arial" w:hAnsi="Arial" w:cs="Arial"/>
                <w:b/>
                <w:bCs/>
                <w:sz w:val="24"/>
                <w:szCs w:val="24"/>
              </w:rPr>
            </w:pPr>
          </w:p>
        </w:tc>
      </w:tr>
      <w:tr w:rsidR="00641DEC" w14:paraId="526A4881" w14:textId="77777777" w:rsidTr="00336157">
        <w:tc>
          <w:tcPr>
            <w:tcW w:w="1897" w:type="dxa"/>
          </w:tcPr>
          <w:p w14:paraId="735D8C30" w14:textId="77777777" w:rsidR="004E5B1E" w:rsidRDefault="004E5B1E" w:rsidP="00A02D5B">
            <w:pPr>
              <w:rPr>
                <w:rFonts w:ascii="Arial" w:hAnsi="Arial" w:cs="Arial"/>
                <w:b/>
                <w:bCs/>
                <w:sz w:val="24"/>
                <w:szCs w:val="24"/>
              </w:rPr>
            </w:pPr>
          </w:p>
        </w:tc>
        <w:tc>
          <w:tcPr>
            <w:tcW w:w="1827" w:type="dxa"/>
          </w:tcPr>
          <w:p w14:paraId="66D8144E" w14:textId="77777777" w:rsidR="004E5B1E" w:rsidRPr="00432877" w:rsidRDefault="004E5B1E" w:rsidP="00A02D5B">
            <w:pPr>
              <w:rPr>
                <w:rFonts w:ascii="Arial" w:hAnsi="Arial" w:cs="Arial"/>
                <w:sz w:val="24"/>
                <w:szCs w:val="24"/>
              </w:rPr>
            </w:pPr>
          </w:p>
        </w:tc>
        <w:tc>
          <w:tcPr>
            <w:tcW w:w="2605" w:type="dxa"/>
          </w:tcPr>
          <w:p w14:paraId="0A8FF2BE" w14:textId="7338041D" w:rsidR="004E5B1E" w:rsidRDefault="004E5B1E" w:rsidP="00A02D5B">
            <w:pPr>
              <w:rPr>
                <w:rFonts w:ascii="Arial" w:hAnsi="Arial" w:cs="Arial"/>
                <w:sz w:val="24"/>
                <w:szCs w:val="24"/>
              </w:rPr>
            </w:pPr>
            <w:r>
              <w:rPr>
                <w:rFonts w:ascii="Arial" w:hAnsi="Arial" w:cs="Arial"/>
                <w:sz w:val="24"/>
                <w:szCs w:val="24"/>
              </w:rPr>
              <w:t>Cohort 3 of the Reverse Mentoring Programme targeted at Disabled staff</w:t>
            </w:r>
          </w:p>
        </w:tc>
        <w:tc>
          <w:tcPr>
            <w:tcW w:w="2004" w:type="dxa"/>
          </w:tcPr>
          <w:p w14:paraId="1A5D4EC9" w14:textId="64D17F11" w:rsidR="004E5B1E" w:rsidRPr="002F2104" w:rsidRDefault="003E4A29" w:rsidP="00A02D5B">
            <w:pPr>
              <w:rPr>
                <w:rFonts w:ascii="Arial" w:hAnsi="Arial" w:cs="Arial"/>
                <w:sz w:val="24"/>
                <w:szCs w:val="24"/>
              </w:rPr>
            </w:pPr>
            <w:r>
              <w:rPr>
                <w:rFonts w:ascii="Arial" w:hAnsi="Arial" w:cs="Arial"/>
                <w:sz w:val="24"/>
                <w:szCs w:val="24"/>
              </w:rPr>
              <w:t>Director of Workforce and Organisational Development</w:t>
            </w:r>
          </w:p>
        </w:tc>
        <w:tc>
          <w:tcPr>
            <w:tcW w:w="2100" w:type="dxa"/>
          </w:tcPr>
          <w:p w14:paraId="4F6026E8" w14:textId="616FD578" w:rsidR="004E5B1E" w:rsidRPr="002F2104" w:rsidRDefault="004E5B1E" w:rsidP="00A02D5B">
            <w:pPr>
              <w:rPr>
                <w:rFonts w:ascii="Arial" w:hAnsi="Arial" w:cs="Arial"/>
                <w:sz w:val="24"/>
                <w:szCs w:val="24"/>
              </w:rPr>
            </w:pPr>
            <w:r w:rsidRPr="002F2104">
              <w:rPr>
                <w:rFonts w:ascii="Arial" w:hAnsi="Arial" w:cs="Arial"/>
                <w:sz w:val="24"/>
                <w:szCs w:val="24"/>
              </w:rPr>
              <w:t>OD Facilitator</w:t>
            </w:r>
          </w:p>
        </w:tc>
        <w:tc>
          <w:tcPr>
            <w:tcW w:w="1658" w:type="dxa"/>
          </w:tcPr>
          <w:p w14:paraId="36C181DA" w14:textId="3E5C52B7" w:rsidR="004E5B1E" w:rsidRPr="001D0A8D" w:rsidRDefault="00641DEC" w:rsidP="00A02D5B">
            <w:pPr>
              <w:rPr>
                <w:rFonts w:ascii="Arial" w:hAnsi="Arial" w:cs="Arial"/>
                <w:sz w:val="24"/>
                <w:szCs w:val="24"/>
              </w:rPr>
            </w:pPr>
            <w:r>
              <w:rPr>
                <w:rFonts w:ascii="Arial" w:hAnsi="Arial" w:cs="Arial"/>
                <w:sz w:val="24"/>
                <w:szCs w:val="24"/>
              </w:rPr>
              <w:t xml:space="preserve">Commence  in Q4 </w:t>
            </w:r>
            <w:r w:rsidR="004E5B1E">
              <w:rPr>
                <w:rFonts w:ascii="Arial" w:hAnsi="Arial" w:cs="Arial"/>
                <w:sz w:val="24"/>
                <w:szCs w:val="24"/>
              </w:rPr>
              <w:t>2024</w:t>
            </w:r>
          </w:p>
        </w:tc>
        <w:tc>
          <w:tcPr>
            <w:tcW w:w="1857" w:type="dxa"/>
            <w:shd w:val="clear" w:color="auto" w:fill="00B0F0"/>
          </w:tcPr>
          <w:p w14:paraId="389F4D6E" w14:textId="68A12DB1" w:rsidR="004E5B1E" w:rsidRPr="000718EE" w:rsidRDefault="004E5B1E" w:rsidP="00A02D5B">
            <w:pPr>
              <w:rPr>
                <w:rFonts w:ascii="Arial" w:hAnsi="Arial" w:cs="Arial"/>
                <w:sz w:val="24"/>
                <w:szCs w:val="24"/>
              </w:rPr>
            </w:pPr>
          </w:p>
        </w:tc>
      </w:tr>
      <w:tr w:rsidR="00641DEC" w14:paraId="2083D5B9" w14:textId="77777777" w:rsidTr="00336157">
        <w:tc>
          <w:tcPr>
            <w:tcW w:w="1897" w:type="dxa"/>
          </w:tcPr>
          <w:p w14:paraId="7E9E14D2" w14:textId="77777777" w:rsidR="004E5B1E" w:rsidRDefault="004E5B1E" w:rsidP="00A02D5B">
            <w:pPr>
              <w:rPr>
                <w:rFonts w:ascii="Arial" w:hAnsi="Arial" w:cs="Arial"/>
                <w:b/>
                <w:bCs/>
                <w:sz w:val="24"/>
                <w:szCs w:val="24"/>
              </w:rPr>
            </w:pPr>
          </w:p>
        </w:tc>
        <w:tc>
          <w:tcPr>
            <w:tcW w:w="1827" w:type="dxa"/>
          </w:tcPr>
          <w:p w14:paraId="1191A8B7" w14:textId="77777777" w:rsidR="004E5B1E" w:rsidRPr="00432877" w:rsidRDefault="004E5B1E" w:rsidP="00A02D5B">
            <w:pPr>
              <w:rPr>
                <w:rFonts w:ascii="Arial" w:hAnsi="Arial" w:cs="Arial"/>
                <w:sz w:val="24"/>
                <w:szCs w:val="24"/>
              </w:rPr>
            </w:pPr>
          </w:p>
        </w:tc>
        <w:tc>
          <w:tcPr>
            <w:tcW w:w="2605" w:type="dxa"/>
          </w:tcPr>
          <w:p w14:paraId="1C0221AA" w14:textId="58030B57" w:rsidR="004E5B1E" w:rsidRDefault="004E5B1E" w:rsidP="00A02D5B">
            <w:pPr>
              <w:rPr>
                <w:rFonts w:ascii="Arial" w:hAnsi="Arial" w:cs="Arial"/>
                <w:sz w:val="24"/>
                <w:szCs w:val="24"/>
              </w:rPr>
            </w:pPr>
            <w:r>
              <w:rPr>
                <w:rFonts w:ascii="Arial" w:hAnsi="Arial" w:cs="Arial"/>
                <w:sz w:val="24"/>
                <w:szCs w:val="24"/>
              </w:rPr>
              <w:t>Executive Director Sponsor of Enable to Lead the campaign via a blog to update Personal Diversity Information as in Indicator 1</w:t>
            </w:r>
          </w:p>
        </w:tc>
        <w:tc>
          <w:tcPr>
            <w:tcW w:w="2004" w:type="dxa"/>
          </w:tcPr>
          <w:p w14:paraId="2169AB7E" w14:textId="79275830" w:rsidR="004E5B1E" w:rsidRDefault="00AC7D99" w:rsidP="00A02D5B">
            <w:pPr>
              <w:rPr>
                <w:rFonts w:ascii="Arial" w:hAnsi="Arial" w:cs="Arial"/>
                <w:sz w:val="24"/>
                <w:szCs w:val="24"/>
              </w:rPr>
            </w:pPr>
            <w:r>
              <w:rPr>
                <w:rFonts w:ascii="Arial" w:hAnsi="Arial" w:cs="Arial"/>
                <w:sz w:val="24"/>
                <w:szCs w:val="24"/>
              </w:rPr>
              <w:t>Director of Finance</w:t>
            </w:r>
          </w:p>
        </w:tc>
        <w:tc>
          <w:tcPr>
            <w:tcW w:w="2100" w:type="dxa"/>
          </w:tcPr>
          <w:p w14:paraId="18D23E8B" w14:textId="08A447F8" w:rsidR="004E5B1E" w:rsidRPr="00964996" w:rsidRDefault="004E5B1E" w:rsidP="00A02D5B">
            <w:pPr>
              <w:rPr>
                <w:rFonts w:ascii="Arial" w:hAnsi="Arial" w:cs="Arial"/>
                <w:sz w:val="24"/>
                <w:szCs w:val="24"/>
              </w:rPr>
            </w:pPr>
            <w:r>
              <w:rPr>
                <w:rFonts w:ascii="Arial" w:hAnsi="Arial" w:cs="Arial"/>
                <w:sz w:val="24"/>
                <w:szCs w:val="24"/>
              </w:rPr>
              <w:t>Executive Director Sponsor of Enable and Head of EDI</w:t>
            </w:r>
          </w:p>
        </w:tc>
        <w:tc>
          <w:tcPr>
            <w:tcW w:w="1658" w:type="dxa"/>
          </w:tcPr>
          <w:p w14:paraId="54B60E6C" w14:textId="053386B1" w:rsidR="004E5B1E" w:rsidRPr="00E6201E" w:rsidRDefault="00641DEC" w:rsidP="00A02D5B">
            <w:pPr>
              <w:rPr>
                <w:rFonts w:ascii="Arial" w:hAnsi="Arial" w:cs="Arial"/>
                <w:sz w:val="24"/>
                <w:szCs w:val="24"/>
              </w:rPr>
            </w:pPr>
            <w:r>
              <w:rPr>
                <w:rFonts w:ascii="Arial" w:hAnsi="Arial" w:cs="Arial"/>
                <w:sz w:val="24"/>
                <w:szCs w:val="24"/>
              </w:rPr>
              <w:t>Commence in Q2 2024</w:t>
            </w:r>
          </w:p>
        </w:tc>
        <w:tc>
          <w:tcPr>
            <w:tcW w:w="1857" w:type="dxa"/>
            <w:shd w:val="clear" w:color="auto" w:fill="00B0F0"/>
          </w:tcPr>
          <w:p w14:paraId="67541A5A" w14:textId="0F447CE5" w:rsidR="004E5B1E" w:rsidRPr="006731B1" w:rsidRDefault="004E5B1E" w:rsidP="00A02D5B">
            <w:pPr>
              <w:rPr>
                <w:rFonts w:ascii="Arial" w:hAnsi="Arial" w:cs="Arial"/>
                <w:sz w:val="24"/>
                <w:szCs w:val="24"/>
              </w:rPr>
            </w:pPr>
          </w:p>
        </w:tc>
      </w:tr>
      <w:tr w:rsidR="00641DEC" w14:paraId="1CFAD101" w14:textId="77777777" w:rsidTr="00336157">
        <w:tc>
          <w:tcPr>
            <w:tcW w:w="1897" w:type="dxa"/>
          </w:tcPr>
          <w:p w14:paraId="4FD52A42" w14:textId="77777777" w:rsidR="004E5B1E" w:rsidRDefault="004E5B1E" w:rsidP="00A02D5B">
            <w:pPr>
              <w:rPr>
                <w:rFonts w:ascii="Arial" w:hAnsi="Arial" w:cs="Arial"/>
                <w:b/>
                <w:bCs/>
                <w:sz w:val="24"/>
                <w:szCs w:val="24"/>
              </w:rPr>
            </w:pPr>
          </w:p>
        </w:tc>
        <w:tc>
          <w:tcPr>
            <w:tcW w:w="1827" w:type="dxa"/>
          </w:tcPr>
          <w:p w14:paraId="3FC3036A" w14:textId="77777777" w:rsidR="004E5B1E" w:rsidRPr="00432877" w:rsidRDefault="004E5B1E" w:rsidP="00A02D5B">
            <w:pPr>
              <w:rPr>
                <w:rFonts w:ascii="Arial" w:hAnsi="Arial" w:cs="Arial"/>
                <w:sz w:val="24"/>
                <w:szCs w:val="24"/>
              </w:rPr>
            </w:pPr>
          </w:p>
        </w:tc>
        <w:tc>
          <w:tcPr>
            <w:tcW w:w="2605" w:type="dxa"/>
          </w:tcPr>
          <w:p w14:paraId="3766C064" w14:textId="16D6B2D0" w:rsidR="004E5B1E" w:rsidRDefault="004E5B1E" w:rsidP="00A02D5B">
            <w:pPr>
              <w:rPr>
                <w:rFonts w:ascii="Arial" w:hAnsi="Arial" w:cs="Arial"/>
                <w:sz w:val="24"/>
                <w:szCs w:val="24"/>
              </w:rPr>
            </w:pPr>
            <w:r>
              <w:rPr>
                <w:rFonts w:ascii="Arial" w:hAnsi="Arial" w:cs="Arial"/>
                <w:sz w:val="24"/>
                <w:szCs w:val="24"/>
              </w:rPr>
              <w:t>Ensure the Council of Governors is diverse</w:t>
            </w:r>
          </w:p>
        </w:tc>
        <w:tc>
          <w:tcPr>
            <w:tcW w:w="2004" w:type="dxa"/>
          </w:tcPr>
          <w:p w14:paraId="7EE5D33D" w14:textId="032B0C87" w:rsidR="004E5B1E" w:rsidRDefault="003E4A29" w:rsidP="00A02D5B">
            <w:pPr>
              <w:rPr>
                <w:rFonts w:ascii="Arial" w:hAnsi="Arial" w:cs="Arial"/>
                <w:sz w:val="24"/>
                <w:szCs w:val="24"/>
              </w:rPr>
            </w:pPr>
            <w:r>
              <w:rPr>
                <w:rFonts w:ascii="Arial" w:hAnsi="Arial" w:cs="Arial"/>
                <w:sz w:val="24"/>
                <w:szCs w:val="24"/>
              </w:rPr>
              <w:t>The Trust’s Chair</w:t>
            </w:r>
          </w:p>
        </w:tc>
        <w:tc>
          <w:tcPr>
            <w:tcW w:w="2100" w:type="dxa"/>
          </w:tcPr>
          <w:p w14:paraId="7BEF8FB8" w14:textId="6DE4D5AA" w:rsidR="004E5B1E" w:rsidRDefault="004E5B1E" w:rsidP="00A02D5B">
            <w:pPr>
              <w:rPr>
                <w:rFonts w:ascii="Arial" w:hAnsi="Arial" w:cs="Arial"/>
                <w:sz w:val="24"/>
                <w:szCs w:val="24"/>
              </w:rPr>
            </w:pPr>
            <w:r>
              <w:rPr>
                <w:rFonts w:ascii="Arial" w:hAnsi="Arial" w:cs="Arial"/>
                <w:sz w:val="24"/>
                <w:szCs w:val="24"/>
              </w:rPr>
              <w:t>Governor and Membership Manager</w:t>
            </w:r>
          </w:p>
        </w:tc>
        <w:tc>
          <w:tcPr>
            <w:tcW w:w="1658" w:type="dxa"/>
          </w:tcPr>
          <w:p w14:paraId="30698C6B" w14:textId="2F52F810" w:rsidR="004E5B1E" w:rsidRPr="00AB1B50" w:rsidRDefault="004E5B1E" w:rsidP="00A02D5B">
            <w:pPr>
              <w:rPr>
                <w:rFonts w:ascii="Arial" w:hAnsi="Arial" w:cs="Arial"/>
                <w:sz w:val="24"/>
                <w:szCs w:val="24"/>
              </w:rPr>
            </w:pPr>
            <w:r>
              <w:rPr>
                <w:rFonts w:ascii="Arial" w:hAnsi="Arial" w:cs="Arial"/>
                <w:sz w:val="24"/>
                <w:szCs w:val="24"/>
              </w:rPr>
              <w:t>September 2024</w:t>
            </w:r>
          </w:p>
        </w:tc>
        <w:tc>
          <w:tcPr>
            <w:tcW w:w="1857" w:type="dxa"/>
            <w:shd w:val="clear" w:color="auto" w:fill="00B0F0"/>
          </w:tcPr>
          <w:p w14:paraId="5C3CA10A" w14:textId="258C4AD2" w:rsidR="004E5B1E" w:rsidRDefault="004E5B1E" w:rsidP="00A02D5B">
            <w:pPr>
              <w:rPr>
                <w:rFonts w:ascii="Arial" w:hAnsi="Arial" w:cs="Arial"/>
                <w:b/>
                <w:bCs/>
                <w:sz w:val="24"/>
                <w:szCs w:val="24"/>
              </w:rPr>
            </w:pPr>
          </w:p>
        </w:tc>
      </w:tr>
    </w:tbl>
    <w:p w14:paraId="76F9C426" w14:textId="77777777" w:rsidR="006A28A6" w:rsidRPr="007B0276" w:rsidRDefault="006A28A6" w:rsidP="00B14E88">
      <w:pPr>
        <w:rPr>
          <w:rFonts w:ascii="Arial" w:hAnsi="Arial" w:cs="Arial"/>
          <w:b/>
          <w:bCs/>
          <w:sz w:val="24"/>
          <w:szCs w:val="24"/>
        </w:rPr>
      </w:pPr>
    </w:p>
    <w:sectPr w:rsidR="006A28A6" w:rsidRPr="007B0276" w:rsidSect="007B0276">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065F" w14:textId="77777777" w:rsidR="0069701E" w:rsidRDefault="0069701E" w:rsidP="006A28A6">
      <w:pPr>
        <w:spacing w:after="0" w:line="240" w:lineRule="auto"/>
      </w:pPr>
      <w:r>
        <w:separator/>
      </w:r>
    </w:p>
  </w:endnote>
  <w:endnote w:type="continuationSeparator" w:id="0">
    <w:p w14:paraId="5BB8E74C" w14:textId="77777777" w:rsidR="0069701E" w:rsidRDefault="0069701E" w:rsidP="006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91087"/>
      <w:docPartObj>
        <w:docPartGallery w:val="Page Numbers (Bottom of Page)"/>
        <w:docPartUnique/>
      </w:docPartObj>
    </w:sdtPr>
    <w:sdtEndPr>
      <w:rPr>
        <w:noProof/>
      </w:rPr>
    </w:sdtEndPr>
    <w:sdtContent>
      <w:p w14:paraId="0B0F73BB" w14:textId="6BC18725" w:rsidR="006A28A6" w:rsidRDefault="006A2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4A0EC" w14:textId="77777777" w:rsidR="006A28A6" w:rsidRDefault="006A2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1CD" w14:textId="77777777" w:rsidR="0069701E" w:rsidRDefault="0069701E" w:rsidP="006A28A6">
      <w:pPr>
        <w:spacing w:after="0" w:line="240" w:lineRule="auto"/>
      </w:pPr>
      <w:r>
        <w:separator/>
      </w:r>
    </w:p>
  </w:footnote>
  <w:footnote w:type="continuationSeparator" w:id="0">
    <w:p w14:paraId="78F1A071" w14:textId="77777777" w:rsidR="0069701E" w:rsidRDefault="0069701E" w:rsidP="006A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6C45"/>
    <w:multiLevelType w:val="hybridMultilevel"/>
    <w:tmpl w:val="A284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A670B"/>
    <w:multiLevelType w:val="hybridMultilevel"/>
    <w:tmpl w:val="1E54E52C"/>
    <w:lvl w:ilvl="0" w:tplc="4022D59A">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A7C92"/>
    <w:multiLevelType w:val="hybridMultilevel"/>
    <w:tmpl w:val="A012620E"/>
    <w:lvl w:ilvl="0" w:tplc="29504A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082972">
    <w:abstractNumId w:val="0"/>
  </w:num>
  <w:num w:numId="2" w16cid:durableId="677738174">
    <w:abstractNumId w:val="2"/>
  </w:num>
  <w:num w:numId="3" w16cid:durableId="63687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76"/>
    <w:rsid w:val="00020276"/>
    <w:rsid w:val="000415CA"/>
    <w:rsid w:val="00045B81"/>
    <w:rsid w:val="00050EAE"/>
    <w:rsid w:val="00052302"/>
    <w:rsid w:val="00054C38"/>
    <w:rsid w:val="000567FE"/>
    <w:rsid w:val="00065ED1"/>
    <w:rsid w:val="00067BBA"/>
    <w:rsid w:val="000718EE"/>
    <w:rsid w:val="00083435"/>
    <w:rsid w:val="000E2868"/>
    <w:rsid w:val="000F5254"/>
    <w:rsid w:val="000F53DD"/>
    <w:rsid w:val="0011178B"/>
    <w:rsid w:val="0012707C"/>
    <w:rsid w:val="00140721"/>
    <w:rsid w:val="001443E7"/>
    <w:rsid w:val="001507B5"/>
    <w:rsid w:val="0016066B"/>
    <w:rsid w:val="00164775"/>
    <w:rsid w:val="00174ACB"/>
    <w:rsid w:val="00177BB6"/>
    <w:rsid w:val="001A6B7C"/>
    <w:rsid w:val="001B672C"/>
    <w:rsid w:val="001C07D3"/>
    <w:rsid w:val="001C1A35"/>
    <w:rsid w:val="001C342B"/>
    <w:rsid w:val="001C4428"/>
    <w:rsid w:val="001C51D4"/>
    <w:rsid w:val="001D0A8D"/>
    <w:rsid w:val="001D15BA"/>
    <w:rsid w:val="001E38F1"/>
    <w:rsid w:val="001E47B0"/>
    <w:rsid w:val="001F0951"/>
    <w:rsid w:val="0021255F"/>
    <w:rsid w:val="00232AA5"/>
    <w:rsid w:val="002405AD"/>
    <w:rsid w:val="00240AA0"/>
    <w:rsid w:val="00256ED6"/>
    <w:rsid w:val="00276DBF"/>
    <w:rsid w:val="002B227A"/>
    <w:rsid w:val="002F2104"/>
    <w:rsid w:val="002F3F37"/>
    <w:rsid w:val="00304B32"/>
    <w:rsid w:val="00305F20"/>
    <w:rsid w:val="00315221"/>
    <w:rsid w:val="003343D5"/>
    <w:rsid w:val="00336157"/>
    <w:rsid w:val="00344179"/>
    <w:rsid w:val="00352EC2"/>
    <w:rsid w:val="00356841"/>
    <w:rsid w:val="00385126"/>
    <w:rsid w:val="00395E6E"/>
    <w:rsid w:val="003A5836"/>
    <w:rsid w:val="003D4EE9"/>
    <w:rsid w:val="003E4A29"/>
    <w:rsid w:val="003E4F9C"/>
    <w:rsid w:val="003F50E3"/>
    <w:rsid w:val="00406A4B"/>
    <w:rsid w:val="00424AA2"/>
    <w:rsid w:val="0042767E"/>
    <w:rsid w:val="00432877"/>
    <w:rsid w:val="004359E2"/>
    <w:rsid w:val="00441476"/>
    <w:rsid w:val="00464861"/>
    <w:rsid w:val="004A48B7"/>
    <w:rsid w:val="004A7757"/>
    <w:rsid w:val="004B384A"/>
    <w:rsid w:val="004D0AEC"/>
    <w:rsid w:val="004D7D24"/>
    <w:rsid w:val="004E448D"/>
    <w:rsid w:val="004E5B1E"/>
    <w:rsid w:val="004E6EAE"/>
    <w:rsid w:val="004E79A3"/>
    <w:rsid w:val="0050567C"/>
    <w:rsid w:val="00506546"/>
    <w:rsid w:val="005155CB"/>
    <w:rsid w:val="0052165B"/>
    <w:rsid w:val="005341DD"/>
    <w:rsid w:val="00550560"/>
    <w:rsid w:val="00564529"/>
    <w:rsid w:val="00565F52"/>
    <w:rsid w:val="005726BA"/>
    <w:rsid w:val="005862B5"/>
    <w:rsid w:val="00590CC8"/>
    <w:rsid w:val="00597956"/>
    <w:rsid w:val="005D0CF4"/>
    <w:rsid w:val="00603A82"/>
    <w:rsid w:val="00613E76"/>
    <w:rsid w:val="006164C6"/>
    <w:rsid w:val="00640259"/>
    <w:rsid w:val="00641DEC"/>
    <w:rsid w:val="0065634F"/>
    <w:rsid w:val="006731B1"/>
    <w:rsid w:val="00673B98"/>
    <w:rsid w:val="00691147"/>
    <w:rsid w:val="0069701E"/>
    <w:rsid w:val="006A28A6"/>
    <w:rsid w:val="006A5CA5"/>
    <w:rsid w:val="006B30E5"/>
    <w:rsid w:val="006B4C83"/>
    <w:rsid w:val="006D26F0"/>
    <w:rsid w:val="006D3E4B"/>
    <w:rsid w:val="006D454B"/>
    <w:rsid w:val="00707459"/>
    <w:rsid w:val="00715381"/>
    <w:rsid w:val="00723BD9"/>
    <w:rsid w:val="007260A8"/>
    <w:rsid w:val="00782B23"/>
    <w:rsid w:val="00783140"/>
    <w:rsid w:val="00795AEF"/>
    <w:rsid w:val="007B0276"/>
    <w:rsid w:val="00826763"/>
    <w:rsid w:val="00837A8F"/>
    <w:rsid w:val="00847397"/>
    <w:rsid w:val="00857D1C"/>
    <w:rsid w:val="00874DAF"/>
    <w:rsid w:val="00875F16"/>
    <w:rsid w:val="008F5BA2"/>
    <w:rsid w:val="00902326"/>
    <w:rsid w:val="00905FFA"/>
    <w:rsid w:val="00943279"/>
    <w:rsid w:val="009549D4"/>
    <w:rsid w:val="00964996"/>
    <w:rsid w:val="009705DA"/>
    <w:rsid w:val="009839CD"/>
    <w:rsid w:val="009A6B5A"/>
    <w:rsid w:val="009C5F4A"/>
    <w:rsid w:val="009D0524"/>
    <w:rsid w:val="009E6B0F"/>
    <w:rsid w:val="00A02D5B"/>
    <w:rsid w:val="00A31226"/>
    <w:rsid w:val="00A873E0"/>
    <w:rsid w:val="00A93D21"/>
    <w:rsid w:val="00AB1B50"/>
    <w:rsid w:val="00AC3FF6"/>
    <w:rsid w:val="00AC7D99"/>
    <w:rsid w:val="00AE1982"/>
    <w:rsid w:val="00B00B40"/>
    <w:rsid w:val="00B0293E"/>
    <w:rsid w:val="00B03F55"/>
    <w:rsid w:val="00B12190"/>
    <w:rsid w:val="00B14E88"/>
    <w:rsid w:val="00B23ED5"/>
    <w:rsid w:val="00B32A53"/>
    <w:rsid w:val="00B35FB4"/>
    <w:rsid w:val="00B625F9"/>
    <w:rsid w:val="00B63AC1"/>
    <w:rsid w:val="00B75728"/>
    <w:rsid w:val="00B80AF5"/>
    <w:rsid w:val="00B8108D"/>
    <w:rsid w:val="00B92F26"/>
    <w:rsid w:val="00BB2FE5"/>
    <w:rsid w:val="00BD3FD2"/>
    <w:rsid w:val="00BE5875"/>
    <w:rsid w:val="00C213F8"/>
    <w:rsid w:val="00C3242A"/>
    <w:rsid w:val="00C548A0"/>
    <w:rsid w:val="00C607E8"/>
    <w:rsid w:val="00C75638"/>
    <w:rsid w:val="00C9050F"/>
    <w:rsid w:val="00CB0065"/>
    <w:rsid w:val="00CD0100"/>
    <w:rsid w:val="00CD3800"/>
    <w:rsid w:val="00CF6213"/>
    <w:rsid w:val="00D139FC"/>
    <w:rsid w:val="00D20754"/>
    <w:rsid w:val="00D23AA4"/>
    <w:rsid w:val="00D366AA"/>
    <w:rsid w:val="00D54032"/>
    <w:rsid w:val="00D54C22"/>
    <w:rsid w:val="00D816B3"/>
    <w:rsid w:val="00DA2F68"/>
    <w:rsid w:val="00DA4CC9"/>
    <w:rsid w:val="00DB1B75"/>
    <w:rsid w:val="00DD020A"/>
    <w:rsid w:val="00DF444B"/>
    <w:rsid w:val="00E034B5"/>
    <w:rsid w:val="00E20D97"/>
    <w:rsid w:val="00E215F6"/>
    <w:rsid w:val="00E225E6"/>
    <w:rsid w:val="00E33388"/>
    <w:rsid w:val="00E40EC6"/>
    <w:rsid w:val="00E47C16"/>
    <w:rsid w:val="00E6201E"/>
    <w:rsid w:val="00E664E9"/>
    <w:rsid w:val="00E9235D"/>
    <w:rsid w:val="00E96670"/>
    <w:rsid w:val="00EA00C8"/>
    <w:rsid w:val="00EB1953"/>
    <w:rsid w:val="00EC07E4"/>
    <w:rsid w:val="00EF547B"/>
    <w:rsid w:val="00F06C66"/>
    <w:rsid w:val="00F15EDF"/>
    <w:rsid w:val="00F4765B"/>
    <w:rsid w:val="00F47B08"/>
    <w:rsid w:val="00F8164D"/>
    <w:rsid w:val="00F97439"/>
    <w:rsid w:val="00FA295E"/>
    <w:rsid w:val="00FB1F60"/>
    <w:rsid w:val="00FC0831"/>
    <w:rsid w:val="00FC1413"/>
    <w:rsid w:val="00FD4B28"/>
    <w:rsid w:val="00FE2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2600"/>
  <w15:chartTrackingRefBased/>
  <w15:docId w15:val="{AD79F79D-0B75-4D4F-804D-B5FC69FA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8A6"/>
  </w:style>
  <w:style w:type="paragraph" w:styleId="Footer">
    <w:name w:val="footer"/>
    <w:basedOn w:val="Normal"/>
    <w:link w:val="FooterChar"/>
    <w:uiPriority w:val="99"/>
    <w:unhideWhenUsed/>
    <w:rsid w:val="006A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8A6"/>
  </w:style>
  <w:style w:type="paragraph" w:styleId="ListParagraph">
    <w:name w:val="List Paragraph"/>
    <w:aliases w:val="Numbers"/>
    <w:basedOn w:val="Normal"/>
    <w:uiPriority w:val="34"/>
    <w:qFormat/>
    <w:rsid w:val="00795AEF"/>
    <w:pPr>
      <w:ind w:left="720"/>
      <w:contextualSpacing/>
    </w:pPr>
  </w:style>
  <w:style w:type="paragraph" w:customStyle="1" w:styleId="Default">
    <w:name w:val="Default"/>
    <w:rsid w:val="009839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9C4E-ED33-4569-BC64-68307FEE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GOLDING, Virginia (YORK AND SCARBOROUGH TEACHING HOSPITALS NHS FOUNDATION TRUST)</dc:creator>
  <cp:keywords/>
  <dc:description/>
  <cp:lastModifiedBy>GOLDING, Virginia (YORK AND SCARBOROUGH TEACHING HOSPITALS NHS FOUNDATION TRUST)</cp:lastModifiedBy>
  <cp:revision>12</cp:revision>
  <dcterms:created xsi:type="dcterms:W3CDTF">2023-10-20T11:43:00Z</dcterms:created>
  <dcterms:modified xsi:type="dcterms:W3CDTF">2023-10-30T09:34:00Z</dcterms:modified>
</cp:coreProperties>
</file>